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0" w:before="0"/>
      </w:pPr>
      <w:r>
        <w:rPr>
          <w:rFonts w:ascii="Times New Roman" w:cs="Times New Roman" w:eastAsia="Times New Roman" w:hAnsi="Times New Roman"/>
          <w:b/>
          <w:bCs/>
          <w:i w:val="false"/>
          <w:iCs w:val="false"/>
          <w:color w:val="000000"/>
          <w:sz w:val="24"/>
          <w:szCs w:val="24"/>
        </w:rPr>
        <w:t xml:space="preserve">Data Sources and Currency</w:t>
      </w:r>
    </w:p>
    <w:p>
      <w:pPr>
        <w:spacing w:after="120"/>
        <w:jc w:val="both"/>
      </w:pPr>
      <w:r>
        <w:rPr>
          <w:rFonts w:ascii="Times New Roman" w:cs="Times New Roman" w:eastAsia="Times New Roman" w:hAnsi="Times New Roman"/>
          <w:color w:val="000000"/>
          <w:sz w:val="24"/>
          <w:szCs w:val="24"/>
        </w:rPr>
        <w:t xml:space="preserve">Each figure in this section is cited to its source; the table lists the data vintage and the date it was retrieved from the publishing agency.</w:t>
      </w:r>
    </w:p>
    <w:p>
      <w:pPr>
        <w:spacing w:before="160"/>
      </w:pPr>
    </w:p>
    <w:tbl>
      <w:tblPr>
        <w:tblW w:type="dxa" w:w="9300"/>
        <w:jc w:val="center"/>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0"/>
        <w:gridCol w:w="2600"/>
        <w:gridCol w:w="1500"/>
      </w:tblGrid>
      <w:tr>
        <w:tc>
          <w:tcPr>
            <w:tcW w:type="dxa" w:w="9300"/>
            <w:gridSpan w:val="3"/>
            <w:tcBorders>
              <w:top w:val="single" w:color="1A305B" w:sz="1"/>
              <w:left w:val="single" w:color="1A305B" w:sz="1"/>
              <w:bottom w:val="single" w:color="1A305B" w:sz="1"/>
              <w:right w:val="single" w:color="1A305B" w:sz="1"/>
            </w:tcBorders>
            <w:shd w:fill="1A305B" w:color="auto" w:val="clear"/>
            <w:tcMar>
              <w:top w:type="dxa" w:w="61"/>
              <w:left w:type="dxa" w:w="100"/>
              <w:bottom w:type="dxa" w:w="61"/>
              <w:right w:type="dxa" w:w="100"/>
            </w:tcMar>
          </w:tcPr>
          <w:p>
            <w:pPr>
              <w:jc w:val="center"/>
            </w:pPr>
            <w:r>
              <w:rPr>
                <w:rFonts w:ascii="Times New Roman" w:cs="Times New Roman" w:eastAsia="Times New Roman" w:hAnsi="Times New Roman"/>
                <w:b/>
                <w:bCs/>
                <w:color w:val="FFFFFF"/>
                <w:sz w:val="20"/>
                <w:szCs w:val="20"/>
              </w:rPr>
              <w:t xml:space="preserve">Data Sources, Vintage and Retrieval Date</w:t>
            </w:r>
          </w:p>
        </w:tc>
      </w:tr>
      <w:tr>
        <w:tc>
          <w:tcPr>
            <w:tcW w:type="dxa" w:w="5200"/>
            <w:tcBorders>
              <w:top w:val="single" w:color="1A305B" w:sz="1"/>
              <w:left w:val="single" w:color="1A305B" w:sz="1"/>
              <w:bottom w:val="single" w:color="1A305B" w:sz="1"/>
              <w:right w:val="single" w:color="1A305B" w:sz="1"/>
            </w:tcBorders>
            <w:shd w:fill="FFFFFF" w:color="auto" w:val="clear"/>
            <w:tcMar>
              <w:top w:type="dxa" w:w="61"/>
              <w:left w:type="dxa" w:w="100"/>
              <w:bottom w:type="dxa" w:w="61"/>
              <w:right w:type="dxa" w:w="100"/>
            </w:tcMar>
          </w:tcPr>
          <w:p>
            <w:pPr>
              <w:jc w:val="center"/>
            </w:pPr>
            <w:r>
              <w:rPr>
                <w:rFonts w:ascii="Times New Roman" w:cs="Times New Roman" w:eastAsia="Times New Roman" w:hAnsi="Times New Roman"/>
                <w:b/>
                <w:bCs/>
                <w:color w:val="000000"/>
                <w:sz w:val="20"/>
                <w:szCs w:val="20"/>
              </w:rPr>
              <w:t xml:space="preserve">Dataset — source</w:t>
            </w:r>
          </w:p>
        </w:tc>
        <w:tc>
          <w:tcPr>
            <w:tcW w:type="dxa" w:w="2600"/>
            <w:tcBorders>
              <w:top w:val="single" w:color="1A305B" w:sz="1"/>
              <w:left w:val="single" w:color="1A305B" w:sz="1"/>
              <w:bottom w:val="single" w:color="1A305B" w:sz="1"/>
              <w:right w:val="single" w:color="1A305B" w:sz="1"/>
            </w:tcBorders>
            <w:shd w:fill="FFFFFF" w:color="auto" w:val="clear"/>
            <w:tcMar>
              <w:top w:type="dxa" w:w="61"/>
              <w:left w:type="dxa" w:w="100"/>
              <w:bottom w:type="dxa" w:w="61"/>
              <w:right w:type="dxa" w:w="100"/>
            </w:tcMar>
          </w:tcPr>
          <w:p>
            <w:pPr>
              <w:jc w:val="center"/>
            </w:pPr>
            <w:r>
              <w:rPr>
                <w:rFonts w:ascii="Times New Roman" w:cs="Times New Roman" w:eastAsia="Times New Roman" w:hAnsi="Times New Roman"/>
                <w:b/>
                <w:bCs/>
                <w:color w:val="000000"/>
                <w:sz w:val="20"/>
                <w:szCs w:val="20"/>
              </w:rPr>
              <w:t xml:space="preserve">Vintage</w:t>
            </w:r>
          </w:p>
        </w:tc>
        <w:tc>
          <w:tcPr>
            <w:tcW w:type="dxa" w:w="1500"/>
            <w:tcBorders>
              <w:top w:val="single" w:color="1A305B" w:sz="1"/>
              <w:left w:val="single" w:color="1A305B" w:sz="1"/>
              <w:bottom w:val="single" w:color="1A305B" w:sz="1"/>
              <w:right w:val="single" w:color="1A305B" w:sz="1"/>
            </w:tcBorders>
            <w:shd w:fill="FFFFFF" w:color="auto" w:val="clear"/>
            <w:tcMar>
              <w:top w:type="dxa" w:w="61"/>
              <w:left w:type="dxa" w:w="100"/>
              <w:bottom w:type="dxa" w:w="61"/>
              <w:right w:type="dxa" w:w="100"/>
            </w:tcMar>
          </w:tcPr>
          <w:p>
            <w:pPr>
              <w:jc w:val="center"/>
            </w:pPr>
            <w:r>
              <w:rPr>
                <w:rFonts w:ascii="Times New Roman" w:cs="Times New Roman" w:eastAsia="Times New Roman" w:hAnsi="Times New Roman"/>
                <w:b/>
                <w:bCs/>
                <w:color w:val="000000"/>
                <w:sz w:val="20"/>
                <w:szCs w:val="20"/>
              </w:rPr>
              <w:t xml:space="preserve">Retrieved</w:t>
            </w:r>
          </w:p>
        </w:tc>
      </w:tr>
      <w:tr>
        <w:tc>
          <w:tcPr>
            <w:tcW w:type="dxa" w:w="5200"/>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color w:val="000000"/>
                <w:sz w:val="20"/>
                <w:szCs w:val="20"/>
              </w:rPr>
              <w:t xml:space="preserve">Locational amenities — Google Maps Platform (Places API, Static Maps)</w:t>
            </w:r>
          </w:p>
        </w:tc>
        <w:tc>
          <w:tcPr>
            <w:tcW w:type="dxa" w:w="2600"/>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color w:val="000000"/>
                <w:sz w:val="20"/>
                <w:szCs w:val="20"/>
              </w:rPr>
              <w:t xml:space="preserve">Live listing at time of retrieval</w:t>
            </w:r>
          </w:p>
        </w:tc>
        <w:tc>
          <w:tcPr>
            <w:tcW w:type="dxa" w:w="1500"/>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color w:val="000000"/>
                <w:sz w:val="20"/>
                <w:szCs w:val="20"/>
              </w:rPr>
              <w:t xml:space="preserve">October 3, 2026</w:t>
            </w:r>
          </w:p>
        </w:tc>
      </w:tr>
      <w:tr>
        <w:tc>
          <w:tcPr>
            <w:tcW w:type="dxa" w:w="5200"/>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color w:val="000000"/>
                <w:sz w:val="20"/>
                <w:szCs w:val="20"/>
              </w:rPr>
              <w:t xml:space="preserve">Crime statistics — FBI Crime Data Explorer (Uniform Crime Reporting Program), agency level</w:t>
            </w:r>
          </w:p>
        </w:tc>
        <w:tc>
          <w:tcPr>
            <w:tcW w:type="dxa" w:w="2600"/>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color w:val="000000"/>
                <w:sz w:val="20"/>
                <w:szCs w:val="20"/>
              </w:rPr>
              <w:t xml:space="preserve">2025 data, CDE refresh 09/15/2026</w:t>
            </w:r>
          </w:p>
        </w:tc>
        <w:tc>
          <w:tcPr>
            <w:tcW w:type="dxa" w:w="1500"/>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color w:val="000000"/>
                <w:sz w:val="20"/>
                <w:szCs w:val="20"/>
              </w:rPr>
              <w:t xml:space="preserve">October 3, 2026</w:t>
            </w:r>
          </w:p>
        </w:tc>
      </w:tr>
      <w:tr>
        <w:tc>
          <w:tcPr>
            <w:tcW w:type="dxa" w:w="5200"/>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color w:val="000000"/>
                <w:sz w:val="20"/>
                <w:szCs w:val="20"/>
              </w:rPr>
              <w:t xml:space="preserve">At-place employment by industry — BLS Quarterly Census of Employment and Wages</w:t>
            </w:r>
          </w:p>
        </w:tc>
        <w:tc>
          <w:tcPr>
            <w:tcW w:type="dxa" w:w="2600"/>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color w:val="000000"/>
                <w:sz w:val="20"/>
                <w:szCs w:val="20"/>
              </w:rPr>
              <w:t xml:space="preserve">2025 annual averages (change vs. 2020)</w:t>
            </w:r>
          </w:p>
        </w:tc>
        <w:tc>
          <w:tcPr>
            <w:tcW w:type="dxa" w:w="1500"/>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color w:val="000000"/>
                <w:sz w:val="20"/>
                <w:szCs w:val="20"/>
              </w:rPr>
              <w:t xml:space="preserve">October 3, 2026</w:t>
            </w:r>
          </w:p>
        </w:tc>
      </w:tr>
      <w:tr>
        <w:tc>
          <w:tcPr>
            <w:tcW w:type="dxa" w:w="5200"/>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color w:val="000000"/>
                <w:sz w:val="20"/>
                <w:szCs w:val="20"/>
              </w:rPr>
              <w:t xml:space="preserve">Total at-place employment and establishments — BLS QCEW</w:t>
            </w:r>
          </w:p>
        </w:tc>
        <w:tc>
          <w:tcPr>
            <w:tcW w:type="dxa" w:w="2600"/>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color w:val="000000"/>
                <w:sz w:val="20"/>
                <w:szCs w:val="20"/>
              </w:rPr>
              <w:t xml:space="preserve">2016–2025 annual averages</w:t>
            </w:r>
          </w:p>
        </w:tc>
        <w:tc>
          <w:tcPr>
            <w:tcW w:type="dxa" w:w="1500"/>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color w:val="000000"/>
                <w:sz w:val="20"/>
                <w:szCs w:val="20"/>
              </w:rPr>
              <w:t xml:space="preserve">October 3, 2026</w:t>
            </w:r>
          </w:p>
        </w:tc>
      </w:tr>
      <w:tr>
        <w:tc>
          <w:tcPr>
            <w:tcW w:type="dxa" w:w="5200"/>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color w:val="000000"/>
                <w:sz w:val="20"/>
                <w:szCs w:val="20"/>
              </w:rPr>
              <w:t xml:space="preserve">Long-term employment projections — Projections Central (U.S. DOL / state LMI)</w:t>
            </w:r>
          </w:p>
        </w:tc>
        <w:tc>
          <w:tcPr>
            <w:tcW w:type="dxa" w:w="2600"/>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color w:val="000000"/>
                <w:sz w:val="20"/>
                <w:szCs w:val="20"/>
              </w:rPr>
              <w:t xml:space="preserve">2024–2034</w:t>
            </w:r>
          </w:p>
        </w:tc>
        <w:tc>
          <w:tcPr>
            <w:tcW w:type="dxa" w:w="1500"/>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color w:val="000000"/>
                <w:sz w:val="20"/>
                <w:szCs w:val="20"/>
              </w:rPr>
              <w:t xml:space="preserve">October 3, 2026</w:t>
            </w:r>
          </w:p>
        </w:tc>
      </w:tr>
      <w:tr>
        <w:tc>
          <w:tcPr>
            <w:tcW w:type="dxa" w:w="5200"/>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color w:val="000000"/>
                <w:sz w:val="20"/>
                <w:szCs w:val="20"/>
              </w:rPr>
              <w:t xml:space="preserve">Major employers — Hamilton County, TN Annual Comprehensive Financial Report, Statistical Section — Principal Employers, fiscal year 2025</w:t>
            </w:r>
          </w:p>
        </w:tc>
        <w:tc>
          <w:tcPr>
            <w:tcW w:type="dxa" w:w="2600"/>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color w:val="000000"/>
                <w:sz w:val="20"/>
                <w:szCs w:val="20"/>
              </w:rPr>
              <w:t xml:space="preserve">FY 2025</w:t>
            </w:r>
          </w:p>
        </w:tc>
        <w:tc>
          <w:tcPr>
            <w:tcW w:type="dxa" w:w="1500"/>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color w:val="000000"/>
                <w:sz w:val="20"/>
                <w:szCs w:val="20"/>
              </w:rPr>
              <w:t xml:space="preserve"/>
            </w:r>
          </w:p>
        </w:tc>
      </w:tr>
      <w:tr>
        <w:tc>
          <w:tcPr>
            <w:tcW w:type="dxa" w:w="5200"/>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color w:val="000000"/>
                <w:sz w:val="20"/>
                <w:szCs w:val="20"/>
              </w:rPr>
              <w:t xml:space="preserve">Unemployment and labor force — BLS Local Area Unemployment Statistics (LAUS) / Current Population Survey</w:t>
            </w:r>
          </w:p>
        </w:tc>
        <w:tc>
          <w:tcPr>
            <w:tcW w:type="dxa" w:w="2600"/>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color w:val="000000"/>
                <w:sz w:val="20"/>
                <w:szCs w:val="20"/>
              </w:rPr>
              <w:t xml:space="preserve">2015–2026 YTD annual; monthly through Aug 2026</w:t>
            </w:r>
          </w:p>
        </w:tc>
        <w:tc>
          <w:tcPr>
            <w:tcW w:type="dxa" w:w="1500"/>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color w:val="000000"/>
                <w:sz w:val="20"/>
                <w:szCs w:val="20"/>
              </w:rPr>
              <w:t xml:space="preserve">October 3, 2026</w:t>
            </w:r>
          </w:p>
        </w:tc>
      </w:tr>
      <w:tr>
        <w:tc>
          <w:tcPr>
            <w:tcW w:type="dxa" w:w="5200"/>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color w:val="000000"/>
                <w:sz w:val="20"/>
                <w:szCs w:val="20"/>
              </w:rPr>
              <w:t xml:space="preserve">Commuting patterns — U.S. Census Bureau ACS 5-year (B08007, B08301, B08303, B08013)</w:t>
            </w:r>
          </w:p>
        </w:tc>
        <w:tc>
          <w:tcPr>
            <w:tcW w:type="dxa" w:w="2600"/>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color w:val="000000"/>
                <w:sz w:val="20"/>
                <w:szCs w:val="20"/>
              </w:rPr>
              <w:t xml:space="preserve">2024 5-year estimates</w:t>
            </w:r>
          </w:p>
        </w:tc>
        <w:tc>
          <w:tcPr>
            <w:tcW w:type="dxa" w:w="1500"/>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color w:val="000000"/>
                <w:sz w:val="20"/>
                <w:szCs w:val="20"/>
              </w:rPr>
              <w:t xml:space="preserve">October 3, 2026</w:t>
            </w:r>
          </w:p>
        </w:tc>
      </w:tr>
      <w:tr>
        <w:tc>
          <w:tcPr>
            <w:tcW w:type="dxa" w:w="5200"/>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color w:val="000000"/>
                <w:sz w:val="20"/>
                <w:szCs w:val="20"/>
              </w:rPr>
              <w:t xml:space="preserve">Wages by occupation — BLS Occupational Employment and Wage Statistics (OEWS)</w:t>
            </w:r>
          </w:p>
        </w:tc>
        <w:tc>
          <w:tcPr>
            <w:tcW w:type="dxa" w:w="2600"/>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color w:val="000000"/>
                <w:sz w:val="20"/>
                <w:szCs w:val="20"/>
              </w:rPr>
              <w:t xml:space="preserve">May 2025 — Chattanooga, TN-GA Metropolitan Statistical Area</w:t>
            </w:r>
          </w:p>
        </w:tc>
        <w:tc>
          <w:tcPr>
            <w:tcW w:type="dxa" w:w="1500"/>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color w:val="000000"/>
                <w:sz w:val="20"/>
                <w:szCs w:val="20"/>
              </w:rPr>
              <w:t xml:space="preserve">October 3, 2026</w:t>
            </w:r>
          </w:p>
        </w:tc>
      </w:tr>
      <w:tr>
        <w:tc>
          <w:tcPr>
            <w:tcW w:type="dxa" w:w="5200"/>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color w:val="000000"/>
                <w:sz w:val="20"/>
                <w:szCs w:val="20"/>
              </w:rPr>
              <w:t xml:space="preserve">Building permits — U.S. Census Bureau, Building Permits Survey (place-level annual and year-to-date)</w:t>
            </w:r>
          </w:p>
        </w:tc>
        <w:tc>
          <w:tcPr>
            <w:tcW w:type="dxa" w:w="2600"/>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color w:val="000000"/>
                <w:sz w:val="20"/>
                <w:szCs w:val="20"/>
              </w:rPr>
              <w:t xml:space="preserve">2015–2026 YTD</w:t>
            </w:r>
          </w:p>
        </w:tc>
        <w:tc>
          <w:tcPr>
            <w:tcW w:type="dxa" w:w="1500"/>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color w:val="000000"/>
                <w:sz w:val="20"/>
                <w:szCs w:val="20"/>
              </w:rPr>
              <w:t xml:space="preserve">October 3, 2026</w:t>
            </w:r>
          </w:p>
        </w:tc>
      </w:tr>
      <w:tr>
        <w:tc>
          <w:tcPr>
            <w:tcW w:type="dxa" w:w="5200"/>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color w:val="000000"/>
                <w:sz w:val="20"/>
                <w:szCs w:val="20"/>
              </w:rPr>
              <w:t xml:space="preserve">Flood zone — FEMA National Flood Hazard Layer</w:t>
            </w:r>
          </w:p>
        </w:tc>
        <w:tc>
          <w:tcPr>
            <w:tcW w:type="dxa" w:w="2600"/>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color w:val="000000"/>
                <w:sz w:val="20"/>
                <w:szCs w:val="20"/>
              </w:rPr>
              <w:t xml:space="preserve">Zone X (AREA OF MINIMAL FLOOD HAZARD)</w:t>
            </w:r>
          </w:p>
        </w:tc>
        <w:tc>
          <w:tcPr>
            <w:tcW w:type="dxa" w:w="1500"/>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color w:val="000000"/>
                <w:sz w:val="20"/>
                <w:szCs w:val="20"/>
              </w:rPr>
              <w:t xml:space="preserve">October 3, 2026</w:t>
            </w:r>
          </w:p>
        </w:tc>
      </w:tr>
    </w:tbl>
    <w:p>
      <w:r>
        <w:br w:type="page"/>
      </w:r>
    </w:p>
    <w:p>
      <w:pPr>
        <w:pStyle w:val="Heading1"/>
        <w:spacing w:after="0" w:before="0"/>
      </w:pPr>
      <w:r>
        <w:rPr>
          <w:rFonts w:ascii="Times New Roman" w:cs="Times New Roman" w:eastAsia="Times New Roman" w:hAnsi="Times New Roman"/>
          <w:b/>
          <w:bCs/>
          <w:i w:val="false"/>
          <w:iCs w:val="false"/>
          <w:color w:val="000000"/>
          <w:sz w:val="24"/>
          <w:szCs w:val="24"/>
        </w:rPr>
        <w:t xml:space="preserve">Site &amp; Neighborhood</w:t>
      </w:r>
    </w:p>
    <w:p>
      <w:pPr>
        <w:spacing w:after="120"/>
        <w:jc w:val="both"/>
      </w:pPr>
      <w:r>
        <w:rPr>
          <w:rFonts w:ascii="Times New Roman" w:cs="Times New Roman" w:eastAsia="Times New Roman" w:hAnsi="Times New Roman"/>
          <w:color w:val="000000"/>
          <w:sz w:val="24"/>
          <w:szCs w:val="24"/>
        </w:rPr>
        <w:t xml:space="preserve">The subject site is located at 1000 Market St, Chattanooga, TN 37402. Development location point: 35.04478, -85.30933 (decimal degrees, WGS84).</w:t>
      </w:r>
    </w:p>
    <w:p>
      <w:pPr>
        <w:spacing w:after="120"/>
        <w:jc w:val="both"/>
      </w:pPr>
      <w:r>
        <w:rPr>
          <w:rFonts w:ascii="Times New Roman" w:cs="Times New Roman" w:eastAsia="Times New Roman" w:hAnsi="Times New Roman"/>
          <w:color w:val="000000"/>
          <w:sz w:val="24"/>
          <w:szCs w:val="24"/>
        </w:rPr>
        <w:t xml:space="preserve">According to the FEMA National Flood Hazard Layer, the site is mapped in Flood Zone X (AREA OF MINIMAL FLOOD HAZARD), which is outside a Special Flood Hazard Area (retrieved October 3, 2026).</w:t>
      </w:r>
    </w:p>
    <w:p>
      <w:r>
        <w:br w:type="page"/>
      </w:r>
    </w:p>
    <w:p>
      <w:pPr>
        <w:pStyle w:val="Heading1"/>
        <w:spacing w:after="0" w:before="0"/>
      </w:pPr>
      <w:r>
        <w:rPr>
          <w:rFonts w:ascii="Times New Roman" w:cs="Times New Roman" w:eastAsia="Times New Roman" w:hAnsi="Times New Roman"/>
          <w:b/>
          <w:bCs/>
          <w:i w:val="false"/>
          <w:iCs w:val="false"/>
          <w:color w:val="000000"/>
          <w:sz w:val="24"/>
          <w:szCs w:val="24"/>
        </w:rPr>
        <w:t xml:space="preserve">Area Services</w:t>
      </w:r>
    </w:p>
    <w:p>
      <w:pPr>
        <w:spacing w:after="120"/>
        <w:jc w:val="both"/>
      </w:pPr>
      <w:r>
        <w:rPr>
          <w:rFonts w:ascii="Times New Roman" w:cs="Times New Roman" w:eastAsia="Times New Roman" w:hAnsi="Times New Roman"/>
          <w:color w:val="000000"/>
          <w:sz w:val="24"/>
          <w:szCs w:val="24"/>
        </w:rPr>
        <w:t xml:space="preserve">The map and table below illustrate the location amenities in relation to the Subject site.</w:t>
      </w:r>
    </w:p>
    <w:p>
      <w:pPr>
        <w:spacing w:after="60"/>
        <w:jc w:val="center"/>
      </w:pPr>
      <w:r>
        <w:rPr>
          <w:rFonts w:ascii="Times New Roman" w:cs="Times New Roman" w:eastAsia="Times New Roman" w:hAnsi="Times New Roman"/>
          <w:b/>
          <w:bCs/>
          <w:color w:val="000000"/>
          <w:sz w:val="20"/>
          <w:szCs w:val="20"/>
        </w:rPr>
        <w:t xml:space="preserve">Not shown on this map (outside frame): #13–#15 — see table.</w:t>
      </w:r>
    </w:p>
    <w:p>
      <w:pPr>
        <w:spacing w:after="120" w:before="120"/>
        <w:jc w:val="center"/>
      </w:pPr>
      <w:r>
        <w:drawing>
          <wp:inline distT="0" distB="0" distL="0" distR="0">
            <wp:extent cx="6286500" cy="47148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6286500" cy="4714875"/>
                    </a:xfrm>
                    <a:prstGeom prst="rect">
                      <a:avLst/>
                    </a:prstGeom>
                  </pic:spPr>
                </pic:pic>
              </a:graphicData>
            </a:graphic>
          </wp:inline>
        </w:drawing>
      </w:r>
    </w:p>
    <w:tbl>
      <w:tblPr>
        <w:tblW w:type="dxa" w:w="9302"/>
        <w:jc w:val="center"/>
        <w:tblBorders>
          <w:top w:val="single" w:color="000000" w:sz="4"/>
          <w:left w:val="single" w:color="000000" w:sz="4"/>
          <w:bottom w:val="single" w:color="000000" w:sz="4"/>
          <w:right w:val="single" w:color="000000" w:sz="4"/>
          <w:insideH w:val="single" w:color="auto" w:sz="4"/>
          <w:insideV w:val="single" w:color="auto" w:sz="4"/>
        </w:tblBorders>
      </w:tblPr>
      <w:tblGrid>
        <w:gridCol w:w="100"/>
        <w:gridCol w:w="100"/>
        <w:gridCol w:w="100"/>
        <w:gridCol w:w="100"/>
      </w:tblGrid>
      <w:tr>
        <w:trPr>
          <w:tblHeader/>
        </w:trPr>
        <w:tc>
          <w:tcPr>
            <w:tcW w:type="dxa" w:w="9302"/>
            <w:gridSpan w:val="4"/>
            <w:tcBorders>
              <w:top w:val="single" w:color="000000" w:sz="4"/>
              <w:left w:val="single" w:color="000000" w:sz="4"/>
              <w:bottom w:val="single" w:color="000000" w:sz="4"/>
              <w:right w:val="single" w:color="000000" w:sz="4"/>
            </w:tcBorders>
            <w:shd w:fill="1A305B" w:color="auto" w:val="clear"/>
          </w:tcPr>
          <w:p>
            <w:pPr>
              <w:spacing w:after="40" w:before="40"/>
              <w:jc w:val="center"/>
            </w:pPr>
            <w:r>
              <w:rPr>
                <w:rFonts w:ascii="Times New Roman" w:cs="Times New Roman" w:eastAsia="Times New Roman" w:hAnsi="Times New Roman"/>
                <w:b/>
                <w:bCs/>
                <w:color w:val="FFFFFF"/>
                <w:sz w:val="20"/>
                <w:szCs w:val="20"/>
              </w:rPr>
              <w:t xml:space="preserve">Distance From Local Services</w:t>
            </w:r>
          </w:p>
        </w:tc>
      </w:tr>
      <w:tr>
        <w:trPr>
          <w:tblHeader/>
        </w:trPr>
        <w:tc>
          <w:tcPr>
            <w:tcW w:type="dxa" w:w="700"/>
            <w:tcBorders>
              <w:top w:val="single" w:color="000000" w:sz="4"/>
              <w:left w:val="single" w:color="000000" w:sz="4"/>
              <w:bottom w:val="single" w:color="000000" w:sz="4"/>
              <w:right w:val="single" w:color="000000" w:sz="4"/>
            </w:tcBorders>
            <w:shd w:fill="FFFFFF" w:color="auto" w:val="clear"/>
          </w:tcPr>
          <w:p>
            <w:pPr>
              <w:spacing w:after="40" w:before="40"/>
              <w:jc w:val="center"/>
            </w:pPr>
            <w:r>
              <w:rPr>
                <w:rFonts w:ascii="Times New Roman" w:cs="Times New Roman" w:eastAsia="Times New Roman" w:hAnsi="Times New Roman"/>
                <w:b/>
                <w:bCs/>
                <w:color w:val="000000"/>
                <w:sz w:val="20"/>
                <w:szCs w:val="20"/>
              </w:rPr>
              <w:t xml:space="preserve">Map #</w:t>
            </w:r>
          </w:p>
        </w:tc>
        <w:tc>
          <w:tcPr>
            <w:tcW w:type="dxa" w:w="3902"/>
            <w:tcBorders>
              <w:top w:val="single" w:color="000000" w:sz="4"/>
              <w:left w:val="single" w:color="000000" w:sz="4"/>
              <w:bottom w:val="single" w:color="000000" w:sz="4"/>
              <w:right w:val="single" w:color="000000" w:sz="4"/>
            </w:tcBorders>
            <w:shd w:fill="FFFFFF" w:color="auto" w:val="clear"/>
          </w:tcPr>
          <w:p>
            <w:pPr>
              <w:spacing w:after="40" w:before="40"/>
              <w:jc w:val="center"/>
            </w:pPr>
            <w:r>
              <w:rPr>
                <w:rFonts w:ascii="Times New Roman" w:cs="Times New Roman" w:eastAsia="Times New Roman" w:hAnsi="Times New Roman"/>
                <w:b/>
                <w:bCs/>
                <w:color w:val="000000"/>
                <w:sz w:val="20"/>
                <w:szCs w:val="20"/>
              </w:rPr>
              <w:t xml:space="preserve">Name</w:t>
            </w:r>
          </w:p>
        </w:tc>
        <w:tc>
          <w:tcPr>
            <w:tcW w:type="dxa" w:w="3200"/>
            <w:tcBorders>
              <w:top w:val="single" w:color="000000" w:sz="4"/>
              <w:left w:val="single" w:color="000000" w:sz="4"/>
              <w:bottom w:val="single" w:color="000000" w:sz="4"/>
              <w:right w:val="single" w:color="000000" w:sz="4"/>
            </w:tcBorders>
            <w:shd w:fill="FFFFFF" w:color="auto" w:val="clear"/>
          </w:tcPr>
          <w:p>
            <w:pPr>
              <w:spacing w:after="40" w:before="40"/>
              <w:jc w:val="center"/>
            </w:pPr>
            <w:r>
              <w:rPr>
                <w:rFonts w:ascii="Times New Roman" w:cs="Times New Roman" w:eastAsia="Times New Roman" w:hAnsi="Times New Roman"/>
                <w:b/>
                <w:bCs/>
                <w:color w:val="000000"/>
                <w:sz w:val="20"/>
                <w:szCs w:val="20"/>
              </w:rPr>
              <w:t xml:space="preserve">Service</w:t>
            </w:r>
          </w:p>
        </w:tc>
        <w:tc>
          <w:tcPr>
            <w:tcW w:type="dxa" w:w="1500"/>
            <w:tcBorders>
              <w:top w:val="single" w:color="000000" w:sz="4"/>
              <w:left w:val="single" w:color="000000" w:sz="4"/>
              <w:bottom w:val="single" w:color="000000" w:sz="4"/>
              <w:right w:val="single" w:color="000000" w:sz="4"/>
            </w:tcBorders>
            <w:shd w:fill="FFFFFF" w:color="auto" w:val="clear"/>
          </w:tcPr>
          <w:p>
            <w:pPr>
              <w:spacing w:after="40" w:before="40"/>
              <w:jc w:val="center"/>
            </w:pPr>
            <w:r>
              <w:rPr>
                <w:rFonts w:ascii="Times New Roman" w:cs="Times New Roman" w:eastAsia="Times New Roman" w:hAnsi="Times New Roman"/>
                <w:b/>
                <w:bCs/>
                <w:color w:val="000000"/>
                <w:sz w:val="20"/>
                <w:szCs w:val="20"/>
              </w:rPr>
              <w:t xml:space="preserve">Distance</w:t>
            </w:r>
          </w:p>
        </w:tc>
      </w:tr>
      <w:tr>
        <w:tc>
          <w:tcPr>
            <w:tcW w:type="dxa" w:w="700"/>
            <w:tcBorders>
              <w:top w:val="single" w:color="000000" w:sz="4"/>
              <w:left w:val="single" w:color="000000" w:sz="4"/>
              <w:bottom w:val="single" w:color="000000" w:sz="4"/>
              <w:right w:val="single" w:color="000000" w:sz="4"/>
            </w:tcBorders>
            <w:shd w:fill="FFFFFF" w:color="auto" w:val="clear"/>
          </w:tcPr>
          <w:p>
            <w:pPr>
              <w:spacing w:after="30" w:before="30"/>
              <w:jc w:val="center"/>
            </w:pPr>
            <w:r>
              <w:rPr>
                <w:rFonts w:ascii="Times New Roman" w:cs="Times New Roman" w:eastAsia="Times New Roman" w:hAnsi="Times New Roman"/>
                <w:color w:val="000000"/>
                <w:sz w:val="20"/>
                <w:szCs w:val="20"/>
              </w:rPr>
              <w:t xml:space="preserve">1</w:t>
            </w:r>
          </w:p>
        </w:tc>
        <w:tc>
          <w:tcPr>
            <w:tcW w:type="dxa" w:w="3902"/>
            <w:tcBorders>
              <w:top w:val="single" w:color="000000" w:sz="4"/>
              <w:left w:val="single" w:color="000000" w:sz="4"/>
              <w:bottom w:val="single" w:color="000000" w:sz="4"/>
              <w:right w:val="single" w:color="000000" w:sz="4"/>
            </w:tcBorders>
            <w:shd w:fill="FFFFFF" w:color="auto" w:val="clear"/>
          </w:tcPr>
          <w:p>
            <w:pPr>
              <w:spacing w:after="30" w:before="30"/>
              <w:jc w:val="center"/>
            </w:pPr>
            <w:r>
              <w:rPr>
                <w:rFonts w:ascii="Times New Roman" w:cs="Times New Roman" w:eastAsia="Times New Roman" w:hAnsi="Times New Roman"/>
                <w:color w:val="000000"/>
                <w:sz w:val="20"/>
                <w:szCs w:val="20"/>
              </w:rPr>
              <w:t xml:space="preserve">Bus Stop – 102 E 10th St</w:t>
            </w:r>
          </w:p>
        </w:tc>
        <w:tc>
          <w:tcPr>
            <w:tcW w:type="dxa" w:w="3200"/>
            <w:tcBorders>
              <w:top w:val="single" w:color="000000" w:sz="4"/>
              <w:left w:val="single" w:color="000000" w:sz="4"/>
              <w:bottom w:val="single" w:color="000000" w:sz="4"/>
              <w:right w:val="single" w:color="000000" w:sz="4"/>
            </w:tcBorders>
            <w:shd w:fill="FFFFFF" w:color="auto" w:val="clear"/>
          </w:tcPr>
          <w:p>
            <w:pPr>
              <w:spacing w:after="30" w:before="30"/>
              <w:jc w:val="center"/>
            </w:pPr>
            <w:r>
              <w:rPr>
                <w:rFonts w:ascii="Times New Roman" w:cs="Times New Roman" w:eastAsia="Times New Roman" w:hAnsi="Times New Roman"/>
                <w:color w:val="000000"/>
                <w:sz w:val="20"/>
                <w:szCs w:val="20"/>
              </w:rPr>
              <w:t xml:space="preserve">Transportation</w:t>
            </w:r>
          </w:p>
        </w:tc>
        <w:tc>
          <w:tcPr>
            <w:tcW w:type="dxa" w:w="1500"/>
            <w:tcBorders>
              <w:top w:val="single" w:color="000000" w:sz="4"/>
              <w:left w:val="single" w:color="000000" w:sz="4"/>
              <w:bottom w:val="single" w:color="000000" w:sz="4"/>
              <w:right w:val="single" w:color="000000" w:sz="4"/>
            </w:tcBorders>
            <w:shd w:fill="FFFFFF" w:color="auto" w:val="clear"/>
          </w:tcPr>
          <w:p>
            <w:pPr>
              <w:spacing w:after="30" w:before="30"/>
              <w:jc w:val="center"/>
            </w:pPr>
            <w:r>
              <w:rPr>
                <w:rFonts w:ascii="Times New Roman" w:cs="Times New Roman" w:eastAsia="Times New Roman" w:hAnsi="Times New Roman"/>
                <w:color w:val="000000"/>
                <w:sz w:val="20"/>
                <w:szCs w:val="20"/>
              </w:rPr>
              <w:t xml:space="preserve">0.03 miles</w:t>
            </w:r>
          </w:p>
        </w:tc>
      </w:tr>
      <w:tr>
        <w:tc>
          <w:tcPr>
            <w:tcW w:type="dxa" w:w="700"/>
            <w:tcBorders>
              <w:top w:val="single" w:color="000000" w:sz="4"/>
              <w:left w:val="single" w:color="000000" w:sz="4"/>
              <w:bottom w:val="single" w:color="000000" w:sz="4"/>
              <w:right w:val="single" w:color="000000" w:sz="4"/>
            </w:tcBorders>
            <w:shd w:fill="FFFFFF" w:color="auto" w:val="clear"/>
          </w:tcPr>
          <w:p>
            <w:pPr>
              <w:spacing w:after="30" w:before="30"/>
              <w:jc w:val="center"/>
            </w:pPr>
            <w:r>
              <w:rPr>
                <w:rFonts w:ascii="Times New Roman" w:cs="Times New Roman" w:eastAsia="Times New Roman" w:hAnsi="Times New Roman"/>
                <w:color w:val="000000"/>
                <w:sz w:val="20"/>
                <w:szCs w:val="20"/>
              </w:rPr>
              <w:t xml:space="preserve">2</w:t>
            </w:r>
          </w:p>
        </w:tc>
        <w:tc>
          <w:tcPr>
            <w:tcW w:type="dxa" w:w="3902"/>
            <w:tcBorders>
              <w:top w:val="single" w:color="000000" w:sz="4"/>
              <w:left w:val="single" w:color="000000" w:sz="4"/>
              <w:bottom w:val="single" w:color="000000" w:sz="4"/>
              <w:right w:val="single" w:color="000000" w:sz="4"/>
            </w:tcBorders>
            <w:shd w:fill="FFFFFF" w:color="auto" w:val="clear"/>
          </w:tcPr>
          <w:p>
            <w:pPr>
              <w:spacing w:after="30" w:before="30"/>
              <w:jc w:val="center"/>
            </w:pPr>
            <w:r>
              <w:rPr>
                <w:rFonts w:ascii="Times New Roman" w:cs="Times New Roman" w:eastAsia="Times New Roman" w:hAnsi="Times New Roman"/>
                <w:color w:val="000000"/>
                <w:sz w:val="20"/>
                <w:szCs w:val="20"/>
              </w:rPr>
              <w:t xml:space="preserve">Miller Park</w:t>
            </w:r>
          </w:p>
        </w:tc>
        <w:tc>
          <w:tcPr>
            <w:tcW w:type="dxa" w:w="3200"/>
            <w:tcBorders>
              <w:top w:val="single" w:color="000000" w:sz="4"/>
              <w:left w:val="single" w:color="000000" w:sz="4"/>
              <w:bottom w:val="single" w:color="000000" w:sz="4"/>
              <w:right w:val="single" w:color="000000" w:sz="4"/>
            </w:tcBorders>
            <w:shd w:fill="FFFFFF" w:color="auto" w:val="clear"/>
          </w:tcPr>
          <w:p>
            <w:pPr>
              <w:spacing w:after="30" w:before="30"/>
              <w:jc w:val="center"/>
            </w:pPr>
            <w:r>
              <w:rPr>
                <w:rFonts w:ascii="Times New Roman" w:cs="Times New Roman" w:eastAsia="Times New Roman" w:hAnsi="Times New Roman"/>
                <w:color w:val="000000"/>
                <w:sz w:val="20"/>
                <w:szCs w:val="20"/>
              </w:rPr>
              <w:t xml:space="preserve">Recreation</w:t>
            </w:r>
          </w:p>
        </w:tc>
        <w:tc>
          <w:tcPr>
            <w:tcW w:type="dxa" w:w="1500"/>
            <w:tcBorders>
              <w:top w:val="single" w:color="000000" w:sz="4"/>
              <w:left w:val="single" w:color="000000" w:sz="4"/>
              <w:bottom w:val="single" w:color="000000" w:sz="4"/>
              <w:right w:val="single" w:color="000000" w:sz="4"/>
            </w:tcBorders>
            <w:shd w:fill="FFFFFF" w:color="auto" w:val="clear"/>
          </w:tcPr>
          <w:p>
            <w:pPr>
              <w:spacing w:after="30" w:before="30"/>
              <w:jc w:val="center"/>
            </w:pPr>
            <w:r>
              <w:rPr>
                <w:rFonts w:ascii="Times New Roman" w:cs="Times New Roman" w:eastAsia="Times New Roman" w:hAnsi="Times New Roman"/>
                <w:color w:val="000000"/>
                <w:sz w:val="20"/>
                <w:szCs w:val="20"/>
              </w:rPr>
              <w:t xml:space="preserve">0.05 miles</w:t>
            </w:r>
          </w:p>
        </w:tc>
      </w:tr>
      <w:tr>
        <w:tc>
          <w:tcPr>
            <w:tcW w:type="dxa" w:w="700"/>
            <w:tcBorders>
              <w:top w:val="single" w:color="000000" w:sz="4"/>
              <w:left w:val="single" w:color="000000" w:sz="4"/>
              <w:bottom w:val="single" w:color="000000" w:sz="4"/>
              <w:right w:val="single" w:color="000000" w:sz="4"/>
            </w:tcBorders>
            <w:shd w:fill="FFFFFF" w:color="auto" w:val="clear"/>
          </w:tcPr>
          <w:p>
            <w:pPr>
              <w:spacing w:after="30" w:before="30"/>
              <w:jc w:val="center"/>
            </w:pPr>
            <w:r>
              <w:rPr>
                <w:rFonts w:ascii="Times New Roman" w:cs="Times New Roman" w:eastAsia="Times New Roman" w:hAnsi="Times New Roman"/>
                <w:color w:val="000000"/>
                <w:sz w:val="20"/>
                <w:szCs w:val="20"/>
              </w:rPr>
              <w:t xml:space="preserve">3</w:t>
            </w:r>
          </w:p>
        </w:tc>
        <w:tc>
          <w:tcPr>
            <w:tcW w:type="dxa" w:w="3902"/>
            <w:tcBorders>
              <w:top w:val="single" w:color="000000" w:sz="4"/>
              <w:left w:val="single" w:color="000000" w:sz="4"/>
              <w:bottom w:val="single" w:color="000000" w:sz="4"/>
              <w:right w:val="single" w:color="000000" w:sz="4"/>
            </w:tcBorders>
            <w:shd w:fill="FFFFFF" w:color="auto" w:val="clear"/>
          </w:tcPr>
          <w:p>
            <w:pPr>
              <w:spacing w:after="30" w:before="30"/>
              <w:jc w:val="center"/>
            </w:pPr>
            <w:r>
              <w:rPr>
                <w:rFonts w:ascii="Times New Roman" w:cs="Times New Roman" w:eastAsia="Times New Roman" w:hAnsi="Times New Roman"/>
                <w:color w:val="000000"/>
                <w:sz w:val="20"/>
                <w:szCs w:val="20"/>
              </w:rPr>
              <w:t xml:space="preserve">United States Postal Service</w:t>
            </w:r>
          </w:p>
        </w:tc>
        <w:tc>
          <w:tcPr>
            <w:tcW w:type="dxa" w:w="3200"/>
            <w:tcBorders>
              <w:top w:val="single" w:color="000000" w:sz="4"/>
              <w:left w:val="single" w:color="000000" w:sz="4"/>
              <w:bottom w:val="single" w:color="000000" w:sz="4"/>
              <w:right w:val="single" w:color="000000" w:sz="4"/>
            </w:tcBorders>
            <w:shd w:fill="FFFFFF" w:color="auto" w:val="clear"/>
          </w:tcPr>
          <w:p>
            <w:pPr>
              <w:spacing w:after="30" w:before="30"/>
              <w:jc w:val="center"/>
            </w:pPr>
            <w:r>
              <w:rPr>
                <w:rFonts w:ascii="Times New Roman" w:cs="Times New Roman" w:eastAsia="Times New Roman" w:hAnsi="Times New Roman"/>
                <w:color w:val="000000"/>
                <w:sz w:val="20"/>
                <w:szCs w:val="20"/>
              </w:rPr>
              <w:t xml:space="preserve">Post Office</w:t>
            </w:r>
          </w:p>
        </w:tc>
        <w:tc>
          <w:tcPr>
            <w:tcW w:type="dxa" w:w="1500"/>
            <w:tcBorders>
              <w:top w:val="single" w:color="000000" w:sz="4"/>
              <w:left w:val="single" w:color="000000" w:sz="4"/>
              <w:bottom w:val="single" w:color="000000" w:sz="4"/>
              <w:right w:val="single" w:color="000000" w:sz="4"/>
            </w:tcBorders>
            <w:shd w:fill="FFFFFF" w:color="auto" w:val="clear"/>
          </w:tcPr>
          <w:p>
            <w:pPr>
              <w:spacing w:after="30" w:before="30"/>
              <w:jc w:val="center"/>
            </w:pPr>
            <w:r>
              <w:rPr>
                <w:rFonts w:ascii="Times New Roman" w:cs="Times New Roman" w:eastAsia="Times New Roman" w:hAnsi="Times New Roman"/>
                <w:color w:val="000000"/>
                <w:sz w:val="20"/>
                <w:szCs w:val="20"/>
              </w:rPr>
              <w:t xml:space="preserve">0.06 miles</w:t>
            </w:r>
          </w:p>
        </w:tc>
      </w:tr>
      <w:tr>
        <w:tc>
          <w:tcPr>
            <w:tcW w:type="dxa" w:w="700"/>
            <w:tcBorders>
              <w:top w:val="single" w:color="000000" w:sz="4"/>
              <w:left w:val="single" w:color="000000" w:sz="4"/>
              <w:bottom w:val="single" w:color="000000" w:sz="4"/>
              <w:right w:val="single" w:color="000000" w:sz="4"/>
            </w:tcBorders>
            <w:shd w:fill="FFFFFF" w:color="auto" w:val="clear"/>
          </w:tcPr>
          <w:p>
            <w:pPr>
              <w:spacing w:after="30" w:before="30"/>
              <w:jc w:val="center"/>
            </w:pPr>
            <w:r>
              <w:rPr>
                <w:rFonts w:ascii="Times New Roman" w:cs="Times New Roman" w:eastAsia="Times New Roman" w:hAnsi="Times New Roman"/>
                <w:color w:val="000000"/>
                <w:sz w:val="20"/>
                <w:szCs w:val="20"/>
              </w:rPr>
              <w:t xml:space="preserve">4</w:t>
            </w:r>
          </w:p>
        </w:tc>
        <w:tc>
          <w:tcPr>
            <w:tcW w:type="dxa" w:w="3902"/>
            <w:tcBorders>
              <w:top w:val="single" w:color="000000" w:sz="4"/>
              <w:left w:val="single" w:color="000000" w:sz="4"/>
              <w:bottom w:val="single" w:color="000000" w:sz="4"/>
              <w:right w:val="single" w:color="000000" w:sz="4"/>
            </w:tcBorders>
            <w:shd w:fill="FFFFFF" w:color="auto" w:val="clear"/>
          </w:tcPr>
          <w:p>
            <w:pPr>
              <w:spacing w:after="30" w:before="30"/>
              <w:jc w:val="center"/>
            </w:pPr>
            <w:r>
              <w:rPr>
                <w:rFonts w:ascii="Times New Roman" w:cs="Times New Roman" w:eastAsia="Times New Roman" w:hAnsi="Times New Roman"/>
                <w:color w:val="000000"/>
                <w:sz w:val="20"/>
                <w:szCs w:val="20"/>
              </w:rPr>
              <w:t xml:space="preserve">Downtown Branch - Chattanooga Public Library</w:t>
            </w:r>
          </w:p>
        </w:tc>
        <w:tc>
          <w:tcPr>
            <w:tcW w:type="dxa" w:w="3200"/>
            <w:tcBorders>
              <w:top w:val="single" w:color="000000" w:sz="4"/>
              <w:left w:val="single" w:color="000000" w:sz="4"/>
              <w:bottom w:val="single" w:color="000000" w:sz="4"/>
              <w:right w:val="single" w:color="000000" w:sz="4"/>
            </w:tcBorders>
            <w:shd w:fill="FFFFFF" w:color="auto" w:val="clear"/>
          </w:tcPr>
          <w:p>
            <w:pPr>
              <w:spacing w:after="30" w:before="30"/>
              <w:jc w:val="center"/>
            </w:pPr>
            <w:r>
              <w:rPr>
                <w:rFonts w:ascii="Times New Roman" w:cs="Times New Roman" w:eastAsia="Times New Roman" w:hAnsi="Times New Roman"/>
                <w:color w:val="000000"/>
                <w:sz w:val="20"/>
                <w:szCs w:val="20"/>
              </w:rPr>
              <w:t xml:space="preserve">Library</w:t>
            </w:r>
          </w:p>
        </w:tc>
        <w:tc>
          <w:tcPr>
            <w:tcW w:type="dxa" w:w="1500"/>
            <w:tcBorders>
              <w:top w:val="single" w:color="000000" w:sz="4"/>
              <w:left w:val="single" w:color="000000" w:sz="4"/>
              <w:bottom w:val="single" w:color="000000" w:sz="4"/>
              <w:right w:val="single" w:color="000000" w:sz="4"/>
            </w:tcBorders>
            <w:shd w:fill="FFFFFF" w:color="auto" w:val="clear"/>
          </w:tcPr>
          <w:p>
            <w:pPr>
              <w:spacing w:after="30" w:before="30"/>
              <w:jc w:val="center"/>
            </w:pPr>
            <w:r>
              <w:rPr>
                <w:rFonts w:ascii="Times New Roman" w:cs="Times New Roman" w:eastAsia="Times New Roman" w:hAnsi="Times New Roman"/>
                <w:color w:val="000000"/>
                <w:sz w:val="20"/>
                <w:szCs w:val="20"/>
              </w:rPr>
              <w:t xml:space="preserve">0.08 miles</w:t>
            </w:r>
          </w:p>
        </w:tc>
      </w:tr>
      <w:tr>
        <w:tc>
          <w:tcPr>
            <w:tcW w:type="dxa" w:w="700"/>
            <w:tcBorders>
              <w:top w:val="single" w:color="000000" w:sz="4"/>
              <w:left w:val="single" w:color="000000" w:sz="4"/>
              <w:bottom w:val="single" w:color="000000" w:sz="4"/>
              <w:right w:val="single" w:color="000000" w:sz="4"/>
            </w:tcBorders>
            <w:shd w:fill="FFFFFF" w:color="auto" w:val="clear"/>
          </w:tcPr>
          <w:p>
            <w:pPr>
              <w:spacing w:after="30" w:before="30"/>
              <w:jc w:val="center"/>
            </w:pPr>
            <w:r>
              <w:rPr>
                <w:rFonts w:ascii="Times New Roman" w:cs="Times New Roman" w:eastAsia="Times New Roman" w:hAnsi="Times New Roman"/>
                <w:color w:val="000000"/>
                <w:sz w:val="20"/>
                <w:szCs w:val="20"/>
              </w:rPr>
              <w:t xml:space="preserve">5</w:t>
            </w:r>
          </w:p>
        </w:tc>
        <w:tc>
          <w:tcPr>
            <w:tcW w:type="dxa" w:w="3902"/>
            <w:tcBorders>
              <w:top w:val="single" w:color="000000" w:sz="4"/>
              <w:left w:val="single" w:color="000000" w:sz="4"/>
              <w:bottom w:val="single" w:color="000000" w:sz="4"/>
              <w:right w:val="single" w:color="000000" w:sz="4"/>
            </w:tcBorders>
            <w:shd w:fill="FFFFFF" w:color="auto" w:val="clear"/>
          </w:tcPr>
          <w:p>
            <w:pPr>
              <w:spacing w:after="30" w:before="30"/>
              <w:jc w:val="center"/>
            </w:pPr>
            <w:r>
              <w:rPr>
                <w:rFonts w:ascii="Times New Roman" w:cs="Times New Roman" w:eastAsia="Times New Roman" w:hAnsi="Times New Roman"/>
                <w:color w:val="000000"/>
                <w:sz w:val="20"/>
                <w:szCs w:val="20"/>
              </w:rPr>
              <w:t xml:space="preserve">Wilson Bank &amp; Trust</w:t>
            </w:r>
          </w:p>
        </w:tc>
        <w:tc>
          <w:tcPr>
            <w:tcW w:type="dxa" w:w="3200"/>
            <w:tcBorders>
              <w:top w:val="single" w:color="000000" w:sz="4"/>
              <w:left w:val="single" w:color="000000" w:sz="4"/>
              <w:bottom w:val="single" w:color="000000" w:sz="4"/>
              <w:right w:val="single" w:color="000000" w:sz="4"/>
            </w:tcBorders>
            <w:shd w:fill="FFFFFF" w:color="auto" w:val="clear"/>
          </w:tcPr>
          <w:p>
            <w:pPr>
              <w:spacing w:after="30" w:before="30"/>
              <w:jc w:val="center"/>
            </w:pPr>
            <w:r>
              <w:rPr>
                <w:rFonts w:ascii="Times New Roman" w:cs="Times New Roman" w:eastAsia="Times New Roman" w:hAnsi="Times New Roman"/>
                <w:color w:val="000000"/>
                <w:sz w:val="20"/>
                <w:szCs w:val="20"/>
              </w:rPr>
              <w:t xml:space="preserve">Bank</w:t>
            </w:r>
          </w:p>
        </w:tc>
        <w:tc>
          <w:tcPr>
            <w:tcW w:type="dxa" w:w="1500"/>
            <w:tcBorders>
              <w:top w:val="single" w:color="000000" w:sz="4"/>
              <w:left w:val="single" w:color="000000" w:sz="4"/>
              <w:bottom w:val="single" w:color="000000" w:sz="4"/>
              <w:right w:val="single" w:color="000000" w:sz="4"/>
            </w:tcBorders>
            <w:shd w:fill="FFFFFF" w:color="auto" w:val="clear"/>
          </w:tcPr>
          <w:p>
            <w:pPr>
              <w:spacing w:after="30" w:before="30"/>
              <w:jc w:val="center"/>
            </w:pPr>
            <w:r>
              <w:rPr>
                <w:rFonts w:ascii="Times New Roman" w:cs="Times New Roman" w:eastAsia="Times New Roman" w:hAnsi="Times New Roman"/>
                <w:color w:val="000000"/>
                <w:sz w:val="20"/>
                <w:szCs w:val="20"/>
              </w:rPr>
              <w:t xml:space="preserve">0.11 miles</w:t>
            </w:r>
          </w:p>
        </w:tc>
      </w:tr>
      <w:tr>
        <w:tc>
          <w:tcPr>
            <w:tcW w:type="dxa" w:w="700"/>
            <w:tcBorders>
              <w:top w:val="single" w:color="000000" w:sz="4"/>
              <w:left w:val="single" w:color="000000" w:sz="4"/>
              <w:bottom w:val="single" w:color="000000" w:sz="4"/>
              <w:right w:val="single" w:color="000000" w:sz="4"/>
            </w:tcBorders>
            <w:shd w:fill="FFFFFF" w:color="auto" w:val="clear"/>
          </w:tcPr>
          <w:p>
            <w:pPr>
              <w:spacing w:after="30" w:before="30"/>
              <w:jc w:val="center"/>
            </w:pPr>
            <w:r>
              <w:rPr>
                <w:rFonts w:ascii="Times New Roman" w:cs="Times New Roman" w:eastAsia="Times New Roman" w:hAnsi="Times New Roman"/>
                <w:color w:val="000000"/>
                <w:sz w:val="20"/>
                <w:szCs w:val="20"/>
              </w:rPr>
              <w:t xml:space="preserve">6</w:t>
            </w:r>
          </w:p>
        </w:tc>
        <w:tc>
          <w:tcPr>
            <w:tcW w:type="dxa" w:w="3902"/>
            <w:tcBorders>
              <w:top w:val="single" w:color="000000" w:sz="4"/>
              <w:left w:val="single" w:color="000000" w:sz="4"/>
              <w:bottom w:val="single" w:color="000000" w:sz="4"/>
              <w:right w:val="single" w:color="000000" w:sz="4"/>
            </w:tcBorders>
            <w:shd w:fill="FFFFFF" w:color="auto" w:val="clear"/>
          </w:tcPr>
          <w:p>
            <w:pPr>
              <w:spacing w:after="30" w:before="30"/>
              <w:jc w:val="center"/>
            </w:pPr>
            <w:r>
              <w:rPr>
                <w:rFonts w:ascii="Times New Roman" w:cs="Times New Roman" w:eastAsia="Times New Roman" w:hAnsi="Times New Roman"/>
                <w:color w:val="000000"/>
                <w:sz w:val="20"/>
                <w:szCs w:val="20"/>
              </w:rPr>
              <w:t xml:space="preserve">First Congregational Church</w:t>
            </w:r>
          </w:p>
        </w:tc>
        <w:tc>
          <w:tcPr>
            <w:tcW w:type="dxa" w:w="3200"/>
            <w:tcBorders>
              <w:top w:val="single" w:color="000000" w:sz="4"/>
              <w:left w:val="single" w:color="000000" w:sz="4"/>
              <w:bottom w:val="single" w:color="000000" w:sz="4"/>
              <w:right w:val="single" w:color="000000" w:sz="4"/>
            </w:tcBorders>
            <w:shd w:fill="FFFFFF" w:color="auto" w:val="clear"/>
          </w:tcPr>
          <w:p>
            <w:pPr>
              <w:spacing w:after="30" w:before="30"/>
              <w:jc w:val="center"/>
            </w:pPr>
            <w:r>
              <w:rPr>
                <w:rFonts w:ascii="Times New Roman" w:cs="Times New Roman" w:eastAsia="Times New Roman" w:hAnsi="Times New Roman"/>
                <w:color w:val="000000"/>
                <w:sz w:val="20"/>
                <w:szCs w:val="20"/>
              </w:rPr>
              <w:t xml:space="preserve">Church</w:t>
            </w:r>
          </w:p>
        </w:tc>
        <w:tc>
          <w:tcPr>
            <w:tcW w:type="dxa" w:w="1500"/>
            <w:tcBorders>
              <w:top w:val="single" w:color="000000" w:sz="4"/>
              <w:left w:val="single" w:color="000000" w:sz="4"/>
              <w:bottom w:val="single" w:color="000000" w:sz="4"/>
              <w:right w:val="single" w:color="000000" w:sz="4"/>
            </w:tcBorders>
            <w:shd w:fill="FFFFFF" w:color="auto" w:val="clear"/>
          </w:tcPr>
          <w:p>
            <w:pPr>
              <w:spacing w:after="30" w:before="30"/>
              <w:jc w:val="center"/>
            </w:pPr>
            <w:r>
              <w:rPr>
                <w:rFonts w:ascii="Times New Roman" w:cs="Times New Roman" w:eastAsia="Times New Roman" w:hAnsi="Times New Roman"/>
                <w:color w:val="000000"/>
                <w:sz w:val="20"/>
                <w:szCs w:val="20"/>
              </w:rPr>
              <w:t xml:space="preserve">0.12 miles</w:t>
            </w:r>
          </w:p>
        </w:tc>
      </w:tr>
      <w:tr>
        <w:tc>
          <w:tcPr>
            <w:tcW w:type="dxa" w:w="700"/>
            <w:tcBorders>
              <w:top w:val="single" w:color="000000" w:sz="4"/>
              <w:left w:val="single" w:color="000000" w:sz="4"/>
              <w:bottom w:val="single" w:color="000000" w:sz="4"/>
              <w:right w:val="single" w:color="000000" w:sz="4"/>
            </w:tcBorders>
            <w:shd w:fill="FFFFFF" w:color="auto" w:val="clear"/>
          </w:tcPr>
          <w:p>
            <w:pPr>
              <w:spacing w:after="30" w:before="30"/>
              <w:jc w:val="center"/>
            </w:pPr>
            <w:r>
              <w:rPr>
                <w:rFonts w:ascii="Times New Roman" w:cs="Times New Roman" w:eastAsia="Times New Roman" w:hAnsi="Times New Roman"/>
                <w:color w:val="000000"/>
                <w:sz w:val="20"/>
                <w:szCs w:val="20"/>
              </w:rPr>
              <w:t xml:space="preserve">7</w:t>
            </w:r>
          </w:p>
        </w:tc>
        <w:tc>
          <w:tcPr>
            <w:tcW w:type="dxa" w:w="3902"/>
            <w:tcBorders>
              <w:top w:val="single" w:color="000000" w:sz="4"/>
              <w:left w:val="single" w:color="000000" w:sz="4"/>
              <w:bottom w:val="single" w:color="000000" w:sz="4"/>
              <w:right w:val="single" w:color="000000" w:sz="4"/>
            </w:tcBorders>
            <w:shd w:fill="FFFFFF" w:color="auto" w:val="clear"/>
          </w:tcPr>
          <w:p>
            <w:pPr>
              <w:spacing w:after="30" w:before="30"/>
              <w:jc w:val="center"/>
            </w:pPr>
            <w:r>
              <w:rPr>
                <w:rFonts w:ascii="Times New Roman" w:cs="Times New Roman" w:eastAsia="Times New Roman" w:hAnsi="Times New Roman"/>
                <w:color w:val="000000"/>
                <w:sz w:val="20"/>
                <w:szCs w:val="20"/>
              </w:rPr>
              <w:t xml:space="preserve">Concentra Urgent Care</w:t>
            </w:r>
          </w:p>
        </w:tc>
        <w:tc>
          <w:tcPr>
            <w:tcW w:type="dxa" w:w="3200"/>
            <w:tcBorders>
              <w:top w:val="single" w:color="000000" w:sz="4"/>
              <w:left w:val="single" w:color="000000" w:sz="4"/>
              <w:bottom w:val="single" w:color="000000" w:sz="4"/>
              <w:right w:val="single" w:color="000000" w:sz="4"/>
            </w:tcBorders>
            <w:shd w:fill="FFFFFF" w:color="auto" w:val="clear"/>
          </w:tcPr>
          <w:p>
            <w:pPr>
              <w:spacing w:after="30" w:before="30"/>
              <w:jc w:val="center"/>
            </w:pPr>
            <w:r>
              <w:rPr>
                <w:rFonts w:ascii="Times New Roman" w:cs="Times New Roman" w:eastAsia="Times New Roman" w:hAnsi="Times New Roman"/>
                <w:color w:val="000000"/>
                <w:sz w:val="20"/>
                <w:szCs w:val="20"/>
              </w:rPr>
              <w:t xml:space="preserve">Clinic</w:t>
            </w:r>
          </w:p>
        </w:tc>
        <w:tc>
          <w:tcPr>
            <w:tcW w:type="dxa" w:w="1500"/>
            <w:tcBorders>
              <w:top w:val="single" w:color="000000" w:sz="4"/>
              <w:left w:val="single" w:color="000000" w:sz="4"/>
              <w:bottom w:val="single" w:color="000000" w:sz="4"/>
              <w:right w:val="single" w:color="000000" w:sz="4"/>
            </w:tcBorders>
            <w:shd w:fill="FFFFFF" w:color="auto" w:val="clear"/>
          </w:tcPr>
          <w:p>
            <w:pPr>
              <w:spacing w:after="30" w:before="30"/>
              <w:jc w:val="center"/>
            </w:pPr>
            <w:r>
              <w:rPr>
                <w:rFonts w:ascii="Times New Roman" w:cs="Times New Roman" w:eastAsia="Times New Roman" w:hAnsi="Times New Roman"/>
                <w:color w:val="000000"/>
                <w:sz w:val="20"/>
                <w:szCs w:val="20"/>
              </w:rPr>
              <w:t xml:space="preserve">0.30 miles</w:t>
            </w:r>
          </w:p>
        </w:tc>
      </w:tr>
      <w:tr>
        <w:tc>
          <w:tcPr>
            <w:tcW w:type="dxa" w:w="700"/>
            <w:tcBorders>
              <w:top w:val="single" w:color="000000" w:sz="4"/>
              <w:left w:val="single" w:color="000000" w:sz="4"/>
              <w:bottom w:val="single" w:color="000000" w:sz="4"/>
              <w:right w:val="single" w:color="000000" w:sz="4"/>
            </w:tcBorders>
            <w:shd w:fill="FFFFFF" w:color="auto" w:val="clear"/>
          </w:tcPr>
          <w:p>
            <w:pPr>
              <w:spacing w:after="30" w:before="30"/>
              <w:jc w:val="center"/>
            </w:pPr>
            <w:r>
              <w:rPr>
                <w:rFonts w:ascii="Times New Roman" w:cs="Times New Roman" w:eastAsia="Times New Roman" w:hAnsi="Times New Roman"/>
                <w:color w:val="000000"/>
                <w:sz w:val="20"/>
                <w:szCs w:val="20"/>
              </w:rPr>
              <w:t xml:space="preserve">8</w:t>
            </w:r>
          </w:p>
        </w:tc>
        <w:tc>
          <w:tcPr>
            <w:tcW w:type="dxa" w:w="3902"/>
            <w:tcBorders>
              <w:top w:val="single" w:color="000000" w:sz="4"/>
              <w:left w:val="single" w:color="000000" w:sz="4"/>
              <w:bottom w:val="single" w:color="000000" w:sz="4"/>
              <w:right w:val="single" w:color="000000" w:sz="4"/>
            </w:tcBorders>
            <w:shd w:fill="FFFFFF" w:color="auto" w:val="clear"/>
          </w:tcPr>
          <w:p>
            <w:pPr>
              <w:spacing w:after="30" w:before="30"/>
              <w:jc w:val="center"/>
            </w:pPr>
            <w:r>
              <w:rPr>
                <w:rFonts w:ascii="Times New Roman" w:cs="Times New Roman" w:eastAsia="Times New Roman" w:hAnsi="Times New Roman"/>
                <w:color w:val="000000"/>
                <w:sz w:val="20"/>
                <w:szCs w:val="20"/>
              </w:rPr>
              <w:t xml:space="preserve">Food City / Food City Pharmacy</w:t>
            </w:r>
          </w:p>
        </w:tc>
        <w:tc>
          <w:tcPr>
            <w:tcW w:type="dxa" w:w="3200"/>
            <w:tcBorders>
              <w:top w:val="single" w:color="000000" w:sz="4"/>
              <w:left w:val="single" w:color="000000" w:sz="4"/>
              <w:bottom w:val="single" w:color="000000" w:sz="4"/>
              <w:right w:val="single" w:color="000000" w:sz="4"/>
            </w:tcBorders>
            <w:shd w:fill="FFFFFF" w:color="auto" w:val="clear"/>
          </w:tcPr>
          <w:p>
            <w:pPr>
              <w:spacing w:after="30" w:before="30"/>
              <w:jc w:val="center"/>
            </w:pPr>
            <w:r>
              <w:rPr>
                <w:rFonts w:ascii="Times New Roman" w:cs="Times New Roman" w:eastAsia="Times New Roman" w:hAnsi="Times New Roman"/>
                <w:color w:val="000000"/>
                <w:sz w:val="20"/>
                <w:szCs w:val="20"/>
              </w:rPr>
              <w:t xml:space="preserve">Grocery / Pharmacy</w:t>
            </w:r>
          </w:p>
        </w:tc>
        <w:tc>
          <w:tcPr>
            <w:tcW w:type="dxa" w:w="1500"/>
            <w:tcBorders>
              <w:top w:val="single" w:color="000000" w:sz="4"/>
              <w:left w:val="single" w:color="000000" w:sz="4"/>
              <w:bottom w:val="single" w:color="000000" w:sz="4"/>
              <w:right w:val="single" w:color="000000" w:sz="4"/>
            </w:tcBorders>
            <w:shd w:fill="FFFFFF" w:color="auto" w:val="clear"/>
          </w:tcPr>
          <w:p>
            <w:pPr>
              <w:spacing w:after="30" w:before="30"/>
              <w:jc w:val="center"/>
            </w:pPr>
            <w:r>
              <w:rPr>
                <w:rFonts w:ascii="Times New Roman" w:cs="Times New Roman" w:eastAsia="Times New Roman" w:hAnsi="Times New Roman"/>
                <w:color w:val="000000"/>
                <w:sz w:val="20"/>
                <w:szCs w:val="20"/>
              </w:rPr>
              <w:t xml:space="preserve">0.37 miles</w:t>
            </w:r>
          </w:p>
        </w:tc>
      </w:tr>
      <w:tr>
        <w:tc>
          <w:tcPr>
            <w:tcW w:type="dxa" w:w="700"/>
            <w:tcBorders>
              <w:top w:val="single" w:color="000000" w:sz="4"/>
              <w:left w:val="single" w:color="000000" w:sz="4"/>
              <w:bottom w:val="single" w:color="000000" w:sz="4"/>
              <w:right w:val="single" w:color="000000" w:sz="4"/>
            </w:tcBorders>
            <w:shd w:fill="FFFFFF" w:color="auto" w:val="clear"/>
          </w:tcPr>
          <w:p>
            <w:pPr>
              <w:spacing w:after="30" w:before="30"/>
              <w:jc w:val="center"/>
            </w:pPr>
            <w:r>
              <w:rPr>
                <w:rFonts w:ascii="Times New Roman" w:cs="Times New Roman" w:eastAsia="Times New Roman" w:hAnsi="Times New Roman"/>
                <w:color w:val="000000"/>
                <w:sz w:val="20"/>
                <w:szCs w:val="20"/>
              </w:rPr>
              <w:t xml:space="preserve">9</w:t>
            </w:r>
          </w:p>
        </w:tc>
        <w:tc>
          <w:tcPr>
            <w:tcW w:type="dxa" w:w="3902"/>
            <w:tcBorders>
              <w:top w:val="single" w:color="000000" w:sz="4"/>
              <w:left w:val="single" w:color="000000" w:sz="4"/>
              <w:bottom w:val="single" w:color="000000" w:sz="4"/>
              <w:right w:val="single" w:color="000000" w:sz="4"/>
            </w:tcBorders>
            <w:shd w:fill="FFFFFF" w:color="auto" w:val="clear"/>
          </w:tcPr>
          <w:p>
            <w:pPr>
              <w:spacing w:after="30" w:before="30"/>
              <w:jc w:val="center"/>
            </w:pPr>
            <w:r>
              <w:rPr>
                <w:rFonts w:ascii="Times New Roman" w:cs="Times New Roman" w:eastAsia="Times New Roman" w:hAnsi="Times New Roman"/>
                <w:color w:val="000000"/>
                <w:sz w:val="20"/>
                <w:szCs w:val="20"/>
              </w:rPr>
              <w:t xml:space="preserve">Tommie F. Brown Academy (Hamilton County; grades PK–5)</w:t>
            </w:r>
          </w:p>
        </w:tc>
        <w:tc>
          <w:tcPr>
            <w:tcW w:type="dxa" w:w="3200"/>
            <w:tcBorders>
              <w:top w:val="single" w:color="000000" w:sz="4"/>
              <w:left w:val="single" w:color="000000" w:sz="4"/>
              <w:bottom w:val="single" w:color="000000" w:sz="4"/>
              <w:right w:val="single" w:color="000000" w:sz="4"/>
            </w:tcBorders>
            <w:shd w:fill="FFFFFF" w:color="auto" w:val="clear"/>
          </w:tcPr>
          <w:p>
            <w:pPr>
              <w:spacing w:after="30" w:before="30"/>
              <w:jc w:val="center"/>
            </w:pPr>
            <w:r>
              <w:rPr>
                <w:rFonts w:ascii="Times New Roman" w:cs="Times New Roman" w:eastAsia="Times New Roman" w:hAnsi="Times New Roman"/>
                <w:color w:val="000000"/>
                <w:sz w:val="20"/>
                <w:szCs w:val="20"/>
              </w:rPr>
              <w:t xml:space="preserve">School (K-5)</w:t>
            </w:r>
          </w:p>
        </w:tc>
        <w:tc>
          <w:tcPr>
            <w:tcW w:type="dxa" w:w="1500"/>
            <w:tcBorders>
              <w:top w:val="single" w:color="000000" w:sz="4"/>
              <w:left w:val="single" w:color="000000" w:sz="4"/>
              <w:bottom w:val="single" w:color="000000" w:sz="4"/>
              <w:right w:val="single" w:color="000000" w:sz="4"/>
            </w:tcBorders>
            <w:shd w:fill="FFFFFF" w:color="auto" w:val="clear"/>
          </w:tcPr>
          <w:p>
            <w:pPr>
              <w:spacing w:after="30" w:before="30"/>
              <w:jc w:val="center"/>
            </w:pPr>
            <w:r>
              <w:rPr>
                <w:rFonts w:ascii="Times New Roman" w:cs="Times New Roman" w:eastAsia="Times New Roman" w:hAnsi="Times New Roman"/>
                <w:color w:val="000000"/>
                <w:sz w:val="20"/>
                <w:szCs w:val="20"/>
              </w:rPr>
              <w:t xml:space="preserve">0.55 miles</w:t>
            </w:r>
          </w:p>
        </w:tc>
      </w:tr>
      <w:tr>
        <w:tc>
          <w:tcPr>
            <w:tcW w:type="dxa" w:w="700"/>
            <w:tcBorders>
              <w:top w:val="single" w:color="000000" w:sz="4"/>
              <w:left w:val="single" w:color="000000" w:sz="4"/>
              <w:bottom w:val="single" w:color="000000" w:sz="4"/>
              <w:right w:val="single" w:color="000000" w:sz="4"/>
            </w:tcBorders>
            <w:shd w:fill="FFFFFF" w:color="auto" w:val="clear"/>
          </w:tcPr>
          <w:p>
            <w:pPr>
              <w:spacing w:after="30" w:before="30"/>
              <w:jc w:val="center"/>
            </w:pPr>
            <w:r>
              <w:rPr>
                <w:rFonts w:ascii="Times New Roman" w:cs="Times New Roman" w:eastAsia="Times New Roman" w:hAnsi="Times New Roman"/>
                <w:color w:val="000000"/>
                <w:sz w:val="20"/>
                <w:szCs w:val="20"/>
              </w:rPr>
              <w:t xml:space="preserve">10</w:t>
            </w:r>
          </w:p>
        </w:tc>
        <w:tc>
          <w:tcPr>
            <w:tcW w:type="dxa" w:w="3902"/>
            <w:tcBorders>
              <w:top w:val="single" w:color="000000" w:sz="4"/>
              <w:left w:val="single" w:color="000000" w:sz="4"/>
              <w:bottom w:val="single" w:color="000000" w:sz="4"/>
              <w:right w:val="single" w:color="000000" w:sz="4"/>
            </w:tcBorders>
            <w:shd w:fill="FFFFFF" w:color="auto" w:val="clear"/>
          </w:tcPr>
          <w:p>
            <w:pPr>
              <w:spacing w:after="30" w:before="30"/>
              <w:jc w:val="center"/>
            </w:pPr>
            <w:r>
              <w:rPr>
                <w:rFonts w:ascii="Times New Roman" w:cs="Times New Roman" w:eastAsia="Times New Roman" w:hAnsi="Times New Roman"/>
                <w:color w:val="000000"/>
                <w:sz w:val="20"/>
                <w:szCs w:val="20"/>
              </w:rPr>
              <w:t xml:space="preserve">PURE</w:t>
            </w:r>
          </w:p>
        </w:tc>
        <w:tc>
          <w:tcPr>
            <w:tcW w:type="dxa" w:w="3200"/>
            <w:tcBorders>
              <w:top w:val="single" w:color="000000" w:sz="4"/>
              <w:left w:val="single" w:color="000000" w:sz="4"/>
              <w:bottom w:val="single" w:color="000000" w:sz="4"/>
              <w:right w:val="single" w:color="000000" w:sz="4"/>
            </w:tcBorders>
            <w:shd w:fill="FFFFFF" w:color="auto" w:val="clear"/>
          </w:tcPr>
          <w:p>
            <w:pPr>
              <w:spacing w:after="30" w:before="30"/>
              <w:jc w:val="center"/>
            </w:pPr>
            <w:r>
              <w:rPr>
                <w:rFonts w:ascii="Times New Roman" w:cs="Times New Roman" w:eastAsia="Times New Roman" w:hAnsi="Times New Roman"/>
                <w:color w:val="000000"/>
                <w:sz w:val="20"/>
                <w:szCs w:val="20"/>
              </w:rPr>
              <w:t xml:space="preserve">Gas Station</w:t>
            </w:r>
          </w:p>
        </w:tc>
        <w:tc>
          <w:tcPr>
            <w:tcW w:type="dxa" w:w="1500"/>
            <w:tcBorders>
              <w:top w:val="single" w:color="000000" w:sz="4"/>
              <w:left w:val="single" w:color="000000" w:sz="4"/>
              <w:bottom w:val="single" w:color="000000" w:sz="4"/>
              <w:right w:val="single" w:color="000000" w:sz="4"/>
            </w:tcBorders>
            <w:shd w:fill="FFFFFF" w:color="auto" w:val="clear"/>
          </w:tcPr>
          <w:p>
            <w:pPr>
              <w:spacing w:after="30" w:before="30"/>
              <w:jc w:val="center"/>
            </w:pPr>
            <w:r>
              <w:rPr>
                <w:rFonts w:ascii="Times New Roman" w:cs="Times New Roman" w:eastAsia="Times New Roman" w:hAnsi="Times New Roman"/>
                <w:color w:val="000000"/>
                <w:sz w:val="20"/>
                <w:szCs w:val="20"/>
              </w:rPr>
              <w:t xml:space="preserve">0.77 miles</w:t>
            </w:r>
          </w:p>
        </w:tc>
      </w:tr>
      <w:tr>
        <w:tc>
          <w:tcPr>
            <w:tcW w:type="dxa" w:w="700"/>
            <w:tcBorders>
              <w:top w:val="single" w:color="000000" w:sz="4"/>
              <w:left w:val="single" w:color="000000" w:sz="4"/>
              <w:bottom w:val="single" w:color="000000" w:sz="4"/>
              <w:right w:val="single" w:color="000000" w:sz="4"/>
            </w:tcBorders>
            <w:shd w:fill="FFFFFF" w:color="auto" w:val="clear"/>
          </w:tcPr>
          <w:p>
            <w:pPr>
              <w:spacing w:after="30" w:before="30"/>
              <w:jc w:val="center"/>
            </w:pPr>
            <w:r>
              <w:rPr>
                <w:rFonts w:ascii="Times New Roman" w:cs="Times New Roman" w:eastAsia="Times New Roman" w:hAnsi="Times New Roman"/>
                <w:color w:val="000000"/>
                <w:sz w:val="20"/>
                <w:szCs w:val="20"/>
              </w:rPr>
              <w:t xml:space="preserve">11</w:t>
            </w:r>
          </w:p>
        </w:tc>
        <w:tc>
          <w:tcPr>
            <w:tcW w:type="dxa" w:w="3902"/>
            <w:tcBorders>
              <w:top w:val="single" w:color="000000" w:sz="4"/>
              <w:left w:val="single" w:color="000000" w:sz="4"/>
              <w:bottom w:val="single" w:color="000000" w:sz="4"/>
              <w:right w:val="single" w:color="000000" w:sz="4"/>
            </w:tcBorders>
            <w:shd w:fill="FFFFFF" w:color="auto" w:val="clear"/>
          </w:tcPr>
          <w:p>
            <w:pPr>
              <w:spacing w:after="30" w:before="30"/>
              <w:jc w:val="center"/>
            </w:pPr>
            <w:r>
              <w:rPr>
                <w:rFonts w:ascii="Times New Roman" w:cs="Times New Roman" w:eastAsia="Times New Roman" w:hAnsi="Times New Roman"/>
                <w:color w:val="000000"/>
                <w:sz w:val="20"/>
                <w:szCs w:val="20"/>
              </w:rPr>
              <w:t xml:space="preserve">Chattanooga School for the Arts and Sciences Upper (Hamilton County; grades 6–12)</w:t>
            </w:r>
          </w:p>
        </w:tc>
        <w:tc>
          <w:tcPr>
            <w:tcW w:type="dxa" w:w="3200"/>
            <w:tcBorders>
              <w:top w:val="single" w:color="000000" w:sz="4"/>
              <w:left w:val="single" w:color="000000" w:sz="4"/>
              <w:bottom w:val="single" w:color="000000" w:sz="4"/>
              <w:right w:val="single" w:color="000000" w:sz="4"/>
            </w:tcBorders>
            <w:shd w:fill="FFFFFF" w:color="auto" w:val="clear"/>
          </w:tcPr>
          <w:p>
            <w:pPr>
              <w:spacing w:after="30" w:before="30"/>
              <w:jc w:val="center"/>
            </w:pPr>
            <w:r>
              <w:rPr>
                <w:rFonts w:ascii="Times New Roman" w:cs="Times New Roman" w:eastAsia="Times New Roman" w:hAnsi="Times New Roman"/>
                <w:color w:val="000000"/>
                <w:sz w:val="20"/>
                <w:szCs w:val="20"/>
              </w:rPr>
              <w:t xml:space="preserve">School (6-8)</w:t>
            </w:r>
          </w:p>
        </w:tc>
        <w:tc>
          <w:tcPr>
            <w:tcW w:type="dxa" w:w="1500"/>
            <w:tcBorders>
              <w:top w:val="single" w:color="000000" w:sz="4"/>
              <w:left w:val="single" w:color="000000" w:sz="4"/>
              <w:bottom w:val="single" w:color="000000" w:sz="4"/>
              <w:right w:val="single" w:color="000000" w:sz="4"/>
            </w:tcBorders>
            <w:shd w:fill="FFFFFF" w:color="auto" w:val="clear"/>
          </w:tcPr>
          <w:p>
            <w:pPr>
              <w:spacing w:after="30" w:before="30"/>
              <w:jc w:val="center"/>
            </w:pPr>
            <w:r>
              <w:rPr>
                <w:rFonts w:ascii="Times New Roman" w:cs="Times New Roman" w:eastAsia="Times New Roman" w:hAnsi="Times New Roman"/>
                <w:color w:val="000000"/>
                <w:sz w:val="20"/>
                <w:szCs w:val="20"/>
              </w:rPr>
              <w:t xml:space="preserve">0.89 miles</w:t>
            </w:r>
          </w:p>
        </w:tc>
      </w:tr>
      <w:tr>
        <w:tc>
          <w:tcPr>
            <w:tcW w:type="dxa" w:w="700"/>
            <w:tcBorders>
              <w:top w:val="single" w:color="000000" w:sz="4"/>
              <w:left w:val="single" w:color="000000" w:sz="4"/>
              <w:bottom w:val="single" w:color="000000" w:sz="4"/>
              <w:right w:val="single" w:color="000000" w:sz="4"/>
            </w:tcBorders>
            <w:shd w:fill="FFFFFF" w:color="auto" w:val="clear"/>
          </w:tcPr>
          <w:p>
            <w:pPr>
              <w:spacing w:after="30" w:before="30"/>
              <w:jc w:val="center"/>
            </w:pPr>
            <w:r>
              <w:rPr>
                <w:rFonts w:ascii="Times New Roman" w:cs="Times New Roman" w:eastAsia="Times New Roman" w:hAnsi="Times New Roman"/>
                <w:color w:val="000000"/>
                <w:sz w:val="20"/>
                <w:szCs w:val="20"/>
              </w:rPr>
              <w:t xml:space="preserve">12</w:t>
            </w:r>
          </w:p>
        </w:tc>
        <w:tc>
          <w:tcPr>
            <w:tcW w:type="dxa" w:w="3902"/>
            <w:tcBorders>
              <w:top w:val="single" w:color="000000" w:sz="4"/>
              <w:left w:val="single" w:color="000000" w:sz="4"/>
              <w:bottom w:val="single" w:color="000000" w:sz="4"/>
              <w:right w:val="single" w:color="000000" w:sz="4"/>
            </w:tcBorders>
            <w:shd w:fill="FFFFFF" w:color="auto" w:val="clear"/>
          </w:tcPr>
          <w:p>
            <w:pPr>
              <w:spacing w:after="30" w:before="30"/>
              <w:jc w:val="center"/>
            </w:pPr>
            <w:r>
              <w:rPr>
                <w:rFonts w:ascii="Times New Roman" w:cs="Times New Roman" w:eastAsia="Times New Roman" w:hAnsi="Times New Roman"/>
                <w:color w:val="000000"/>
                <w:sz w:val="20"/>
                <w:szCs w:val="20"/>
              </w:rPr>
              <w:t xml:space="preserve">Erlanger Hospital</w:t>
            </w:r>
          </w:p>
        </w:tc>
        <w:tc>
          <w:tcPr>
            <w:tcW w:type="dxa" w:w="3200"/>
            <w:tcBorders>
              <w:top w:val="single" w:color="000000" w:sz="4"/>
              <w:left w:val="single" w:color="000000" w:sz="4"/>
              <w:bottom w:val="single" w:color="000000" w:sz="4"/>
              <w:right w:val="single" w:color="000000" w:sz="4"/>
            </w:tcBorders>
            <w:shd w:fill="FFFFFF" w:color="auto" w:val="clear"/>
          </w:tcPr>
          <w:p>
            <w:pPr>
              <w:spacing w:after="30" w:before="30"/>
              <w:jc w:val="center"/>
            </w:pPr>
            <w:r>
              <w:rPr>
                <w:rFonts w:ascii="Times New Roman" w:cs="Times New Roman" w:eastAsia="Times New Roman" w:hAnsi="Times New Roman"/>
                <w:color w:val="000000"/>
                <w:sz w:val="20"/>
                <w:szCs w:val="20"/>
              </w:rPr>
              <w:t xml:space="preserve">Hospital</w:t>
            </w:r>
          </w:p>
        </w:tc>
        <w:tc>
          <w:tcPr>
            <w:tcW w:type="dxa" w:w="1500"/>
            <w:tcBorders>
              <w:top w:val="single" w:color="000000" w:sz="4"/>
              <w:left w:val="single" w:color="000000" w:sz="4"/>
              <w:bottom w:val="single" w:color="000000" w:sz="4"/>
              <w:right w:val="single" w:color="000000" w:sz="4"/>
            </w:tcBorders>
            <w:shd w:fill="FFFFFF" w:color="auto" w:val="clear"/>
          </w:tcPr>
          <w:p>
            <w:pPr>
              <w:spacing w:after="30" w:before="30"/>
              <w:jc w:val="center"/>
            </w:pPr>
            <w:r>
              <w:rPr>
                <w:rFonts w:ascii="Times New Roman" w:cs="Times New Roman" w:eastAsia="Times New Roman" w:hAnsi="Times New Roman"/>
                <w:color w:val="000000"/>
                <w:sz w:val="20"/>
                <w:szCs w:val="20"/>
              </w:rPr>
              <w:t xml:space="preserve">1.06 miles</w:t>
            </w:r>
          </w:p>
        </w:tc>
      </w:tr>
      <w:tr>
        <w:tc>
          <w:tcPr>
            <w:tcW w:type="dxa" w:w="700"/>
            <w:tcBorders>
              <w:top w:val="single" w:color="000000" w:sz="4"/>
              <w:left w:val="single" w:color="000000" w:sz="4"/>
              <w:bottom w:val="single" w:color="000000" w:sz="4"/>
              <w:right w:val="single" w:color="000000" w:sz="4"/>
            </w:tcBorders>
            <w:shd w:fill="FFFFFF" w:color="auto" w:val="clear"/>
          </w:tcPr>
          <w:p>
            <w:pPr>
              <w:spacing w:after="30" w:before="30"/>
              <w:jc w:val="center"/>
            </w:pPr>
            <w:r>
              <w:rPr>
                <w:rFonts w:ascii="Times New Roman" w:cs="Times New Roman" w:eastAsia="Times New Roman" w:hAnsi="Times New Roman"/>
                <w:color w:val="000000"/>
                <w:sz w:val="20"/>
                <w:szCs w:val="20"/>
              </w:rPr>
              <w:t xml:space="preserve">13</w:t>
            </w:r>
          </w:p>
        </w:tc>
        <w:tc>
          <w:tcPr>
            <w:tcW w:type="dxa" w:w="3902"/>
            <w:tcBorders>
              <w:top w:val="single" w:color="000000" w:sz="4"/>
              <w:left w:val="single" w:color="000000" w:sz="4"/>
              <w:bottom w:val="single" w:color="000000" w:sz="4"/>
              <w:right w:val="single" w:color="000000" w:sz="4"/>
            </w:tcBorders>
            <w:shd w:fill="FFFFFF" w:color="auto" w:val="clear"/>
          </w:tcPr>
          <w:p>
            <w:pPr>
              <w:spacing w:after="30" w:before="30"/>
              <w:jc w:val="center"/>
            </w:pPr>
            <w:r>
              <w:rPr>
                <w:rFonts w:ascii="Times New Roman" w:cs="Times New Roman" w:eastAsia="Times New Roman" w:hAnsi="Times New Roman"/>
                <w:color w:val="000000"/>
                <w:sz w:val="20"/>
                <w:szCs w:val="20"/>
              </w:rPr>
              <w:t xml:space="preserve">The Howard School (Hamilton County; grades 9–12)</w:t>
            </w:r>
          </w:p>
        </w:tc>
        <w:tc>
          <w:tcPr>
            <w:tcW w:type="dxa" w:w="3200"/>
            <w:tcBorders>
              <w:top w:val="single" w:color="000000" w:sz="4"/>
              <w:left w:val="single" w:color="000000" w:sz="4"/>
              <w:bottom w:val="single" w:color="000000" w:sz="4"/>
              <w:right w:val="single" w:color="000000" w:sz="4"/>
            </w:tcBorders>
            <w:shd w:fill="FFFFFF" w:color="auto" w:val="clear"/>
          </w:tcPr>
          <w:p>
            <w:pPr>
              <w:spacing w:after="30" w:before="30"/>
              <w:jc w:val="center"/>
            </w:pPr>
            <w:r>
              <w:rPr>
                <w:rFonts w:ascii="Times New Roman" w:cs="Times New Roman" w:eastAsia="Times New Roman" w:hAnsi="Times New Roman"/>
                <w:color w:val="000000"/>
                <w:sz w:val="20"/>
                <w:szCs w:val="20"/>
              </w:rPr>
              <w:t xml:space="preserve">School (9-12)</w:t>
            </w:r>
          </w:p>
        </w:tc>
        <w:tc>
          <w:tcPr>
            <w:tcW w:type="dxa" w:w="1500"/>
            <w:tcBorders>
              <w:top w:val="single" w:color="000000" w:sz="4"/>
              <w:left w:val="single" w:color="000000" w:sz="4"/>
              <w:bottom w:val="single" w:color="000000" w:sz="4"/>
              <w:right w:val="single" w:color="000000" w:sz="4"/>
            </w:tcBorders>
            <w:shd w:fill="FFFFFF" w:color="auto" w:val="clear"/>
          </w:tcPr>
          <w:p>
            <w:pPr>
              <w:spacing w:after="30" w:before="30"/>
              <w:jc w:val="center"/>
            </w:pPr>
            <w:r>
              <w:rPr>
                <w:rFonts w:ascii="Times New Roman" w:cs="Times New Roman" w:eastAsia="Times New Roman" w:hAnsi="Times New Roman"/>
                <w:color w:val="000000"/>
                <w:sz w:val="20"/>
                <w:szCs w:val="20"/>
              </w:rPr>
              <w:t xml:space="preserve">1.25 miles</w:t>
            </w:r>
          </w:p>
        </w:tc>
      </w:tr>
      <w:tr>
        <w:tc>
          <w:tcPr>
            <w:tcW w:type="dxa" w:w="700"/>
            <w:tcBorders>
              <w:top w:val="single" w:color="000000" w:sz="4"/>
              <w:left w:val="single" w:color="000000" w:sz="4"/>
              <w:bottom w:val="single" w:color="000000" w:sz="4"/>
              <w:right w:val="single" w:color="000000" w:sz="4"/>
            </w:tcBorders>
            <w:shd w:fill="FFFFFF" w:color="auto" w:val="clear"/>
          </w:tcPr>
          <w:p>
            <w:pPr>
              <w:spacing w:after="30" w:before="30"/>
              <w:jc w:val="center"/>
            </w:pPr>
            <w:r>
              <w:rPr>
                <w:rFonts w:ascii="Times New Roman" w:cs="Times New Roman" w:eastAsia="Times New Roman" w:hAnsi="Times New Roman"/>
                <w:color w:val="000000"/>
                <w:sz w:val="20"/>
                <w:szCs w:val="20"/>
              </w:rPr>
              <w:t xml:space="preserve">14</w:t>
            </w:r>
          </w:p>
        </w:tc>
        <w:tc>
          <w:tcPr>
            <w:tcW w:type="dxa" w:w="3902"/>
            <w:tcBorders>
              <w:top w:val="single" w:color="000000" w:sz="4"/>
              <w:left w:val="single" w:color="000000" w:sz="4"/>
              <w:bottom w:val="single" w:color="000000" w:sz="4"/>
              <w:right w:val="single" w:color="000000" w:sz="4"/>
            </w:tcBorders>
            <w:shd w:fill="FFFFFF" w:color="auto" w:val="clear"/>
          </w:tcPr>
          <w:p>
            <w:pPr>
              <w:spacing w:after="30" w:before="30"/>
              <w:jc w:val="center"/>
            </w:pPr>
            <w:r>
              <w:rPr>
                <w:rFonts w:ascii="Times New Roman" w:cs="Times New Roman" w:eastAsia="Times New Roman" w:hAnsi="Times New Roman"/>
                <w:color w:val="000000"/>
                <w:sz w:val="20"/>
                <w:szCs w:val="20"/>
              </w:rPr>
              <w:t xml:space="preserve">Charter Senior Living of Chattanooga</w:t>
            </w:r>
          </w:p>
        </w:tc>
        <w:tc>
          <w:tcPr>
            <w:tcW w:type="dxa" w:w="3200"/>
            <w:tcBorders>
              <w:top w:val="single" w:color="000000" w:sz="4"/>
              <w:left w:val="single" w:color="000000" w:sz="4"/>
              <w:bottom w:val="single" w:color="000000" w:sz="4"/>
              <w:right w:val="single" w:color="000000" w:sz="4"/>
            </w:tcBorders>
            <w:shd w:fill="FFFFFF" w:color="auto" w:val="clear"/>
          </w:tcPr>
          <w:p>
            <w:pPr>
              <w:spacing w:after="30" w:before="30"/>
              <w:jc w:val="center"/>
            </w:pPr>
            <w:r>
              <w:rPr>
                <w:rFonts w:ascii="Times New Roman" w:cs="Times New Roman" w:eastAsia="Times New Roman" w:hAnsi="Times New Roman"/>
                <w:color w:val="000000"/>
                <w:sz w:val="20"/>
                <w:szCs w:val="20"/>
              </w:rPr>
              <w:t xml:space="preserve">Private Senior Facility</w:t>
            </w:r>
          </w:p>
        </w:tc>
        <w:tc>
          <w:tcPr>
            <w:tcW w:type="dxa" w:w="1500"/>
            <w:tcBorders>
              <w:top w:val="single" w:color="000000" w:sz="4"/>
              <w:left w:val="single" w:color="000000" w:sz="4"/>
              <w:bottom w:val="single" w:color="000000" w:sz="4"/>
              <w:right w:val="single" w:color="000000" w:sz="4"/>
            </w:tcBorders>
            <w:shd w:fill="FFFFFF" w:color="auto" w:val="clear"/>
          </w:tcPr>
          <w:p>
            <w:pPr>
              <w:spacing w:after="30" w:before="30"/>
              <w:jc w:val="center"/>
            </w:pPr>
            <w:r>
              <w:rPr>
                <w:rFonts w:ascii="Times New Roman" w:cs="Times New Roman" w:eastAsia="Times New Roman" w:hAnsi="Times New Roman"/>
                <w:color w:val="000000"/>
                <w:sz w:val="20"/>
                <w:szCs w:val="20"/>
              </w:rPr>
              <w:t xml:space="preserve">4.00 miles</w:t>
            </w:r>
          </w:p>
        </w:tc>
      </w:tr>
      <w:tr>
        <w:tc>
          <w:tcPr>
            <w:tcW w:type="dxa" w:w="700"/>
            <w:tcBorders>
              <w:top w:val="single" w:color="000000" w:sz="4"/>
              <w:left w:val="single" w:color="000000" w:sz="4"/>
              <w:bottom w:val="single" w:color="000000" w:sz="4"/>
              <w:right w:val="single" w:color="000000" w:sz="4"/>
            </w:tcBorders>
            <w:shd w:fill="FFFFFF" w:color="auto" w:val="clear"/>
          </w:tcPr>
          <w:p>
            <w:pPr>
              <w:spacing w:after="30" w:before="30"/>
              <w:jc w:val="center"/>
            </w:pPr>
            <w:r>
              <w:rPr>
                <w:rFonts w:ascii="Times New Roman" w:cs="Times New Roman" w:eastAsia="Times New Roman" w:hAnsi="Times New Roman"/>
                <w:color w:val="000000"/>
                <w:sz w:val="20"/>
                <w:szCs w:val="20"/>
              </w:rPr>
              <w:t xml:space="preserve">15</w:t>
            </w:r>
          </w:p>
        </w:tc>
        <w:tc>
          <w:tcPr>
            <w:tcW w:type="dxa" w:w="3902"/>
            <w:tcBorders>
              <w:top w:val="single" w:color="000000" w:sz="4"/>
              <w:left w:val="single" w:color="000000" w:sz="4"/>
              <w:bottom w:val="single" w:color="000000" w:sz="4"/>
              <w:right w:val="single" w:color="000000" w:sz="4"/>
            </w:tcBorders>
            <w:shd w:fill="FFFFFF" w:color="auto" w:val="clear"/>
          </w:tcPr>
          <w:p>
            <w:pPr>
              <w:spacing w:after="30" w:before="30"/>
              <w:jc w:val="center"/>
            </w:pPr>
            <w:r>
              <w:rPr>
                <w:rFonts w:ascii="Times New Roman" w:cs="Times New Roman" w:eastAsia="Times New Roman" w:hAnsi="Times New Roman"/>
                <w:color w:val="000000"/>
                <w:sz w:val="20"/>
                <w:szCs w:val="20"/>
              </w:rPr>
              <w:t xml:space="preserve">Rossville Senior Citizen Center</w:t>
            </w:r>
          </w:p>
        </w:tc>
        <w:tc>
          <w:tcPr>
            <w:tcW w:type="dxa" w:w="3200"/>
            <w:tcBorders>
              <w:top w:val="single" w:color="000000" w:sz="4"/>
              <w:left w:val="single" w:color="000000" w:sz="4"/>
              <w:bottom w:val="single" w:color="000000" w:sz="4"/>
              <w:right w:val="single" w:color="000000" w:sz="4"/>
            </w:tcBorders>
            <w:shd w:fill="FFFFFF" w:color="auto" w:val="clear"/>
          </w:tcPr>
          <w:p>
            <w:pPr>
              <w:spacing w:after="30" w:before="30"/>
              <w:jc w:val="center"/>
            </w:pPr>
            <w:r>
              <w:rPr>
                <w:rFonts w:ascii="Times New Roman" w:cs="Times New Roman" w:eastAsia="Times New Roman" w:hAnsi="Times New Roman"/>
                <w:color w:val="000000"/>
                <w:sz w:val="20"/>
                <w:szCs w:val="20"/>
              </w:rPr>
              <w:t xml:space="preserve">Senior Services</w:t>
            </w:r>
          </w:p>
        </w:tc>
        <w:tc>
          <w:tcPr>
            <w:tcW w:type="dxa" w:w="1500"/>
            <w:tcBorders>
              <w:top w:val="single" w:color="000000" w:sz="4"/>
              <w:left w:val="single" w:color="000000" w:sz="4"/>
              <w:bottom w:val="single" w:color="000000" w:sz="4"/>
              <w:right w:val="single" w:color="000000" w:sz="4"/>
            </w:tcBorders>
            <w:shd w:fill="FFFFFF" w:color="auto" w:val="clear"/>
          </w:tcPr>
          <w:p>
            <w:pPr>
              <w:spacing w:after="30" w:before="30"/>
              <w:jc w:val="center"/>
            </w:pPr>
            <w:r>
              <w:rPr>
                <w:rFonts w:ascii="Times New Roman" w:cs="Times New Roman" w:eastAsia="Times New Roman" w:hAnsi="Times New Roman"/>
                <w:color w:val="000000"/>
                <w:sz w:val="20"/>
                <w:szCs w:val="20"/>
              </w:rPr>
              <w:t xml:space="preserve">4.63 miles</w:t>
            </w:r>
          </w:p>
        </w:tc>
      </w:tr>
    </w:tbl>
    <w:p>
      <w:r>
        <w:br w:type="page"/>
      </w:r>
    </w:p>
    <w:p>
      <w:pPr>
        <w:pStyle w:val="Heading1"/>
        <w:spacing w:after="0" w:before="0"/>
      </w:pPr>
      <w:r>
        <w:rPr>
          <w:rFonts w:ascii="Times New Roman" w:cs="Times New Roman" w:eastAsia="Times New Roman" w:hAnsi="Times New Roman"/>
          <w:b/>
          <w:bCs/>
          <w:i w:val="false"/>
          <w:iCs w:val="false"/>
          <w:color w:val="000000"/>
          <w:sz w:val="24"/>
          <w:szCs w:val="24"/>
        </w:rPr>
        <w:t xml:space="preserve">Crime Statistics</w:t>
      </w:r>
    </w:p>
    <w:p>
      <w:pPr>
        <w:spacing w:after="120"/>
        <w:jc w:val="both"/>
      </w:pPr>
      <w:r>
        <w:rPr>
          <w:rFonts w:ascii="Times New Roman" w:cs="Times New Roman" w:eastAsia="Times New Roman" w:hAnsi="Times New Roman"/>
          <w:color w:val="000000"/>
          <w:sz w:val="24"/>
          <w:szCs w:val="24"/>
        </w:rPr>
        <w:t xml:space="preserve">Below illustrates crime statistics for the Subject's area, as reported by FBI Crime Data Explorer (Uniform Crime Reporting Program), Chattanooga Police Department, calendar year 2025; rates per 100,000 (state and national on participating population), compared to the state and national crime statistics.</w:t>
      </w:r>
    </w:p>
    <w:tbl>
      <w:tblPr>
        <w:tblW w:type="dxa" w:w="9360"/>
        <w:jc w:val="center"/>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2C3E6B" w:sz="6"/>
              <w:left w:val="single" w:color="2C3E6B" w:sz="6"/>
              <w:bottom w:val="single" w:color="2C3E6B" w:sz="6"/>
              <w:right w:val="single" w:color="2C3E6B" w:sz="6"/>
            </w:tcBorders>
            <w:shd w:fill="FFFFFF" w:color="auto" w:val="clear"/>
            <w:tcMar>
              <w:top w:type="dxa" w:w="80"/>
              <w:left w:type="dxa" w:w="80"/>
              <w:bottom w:type="dxa" w:w="80"/>
              <w:right w:type="dxa" w:w="80"/>
            </w:tcMar>
          </w:tcPr>
          <w:tbl>
            <w:tblPr>
              <w:tblW w:type="dxa" w:w="9200"/>
              <w:jc w:val="center"/>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66"/>
              <w:gridCol w:w="3066"/>
              <w:gridCol w:w="3066"/>
            </w:tblGrid>
            <w:tr>
              <w:tc>
                <w:tcPr>
                  <w:tcW w:type="dxa" w:w="3066"/>
                  <w:tcBorders>
                    <w:top w:val="single" w:color="B0C4DE" w:sz="2"/>
                    <w:left w:val="single" w:color="B0C4DE" w:sz="2"/>
                    <w:bottom w:val="single" w:color="B0C4DE" w:sz="2"/>
                    <w:right w:val="single" w:color="B0C4DE" w:sz="2"/>
                  </w:tcBorders>
                  <w:shd w:fill="EBF2FA" w:color="auto" w:val="clear"/>
                  <w:tcMar>
                    <w:top w:type="dxa" w:w="200"/>
                    <w:left w:type="dxa" w:w="160"/>
                    <w:bottom w:type="dxa" w:w="200"/>
                    <w:right w:type="dxa" w:w="160"/>
                  </w:tcMar>
                </w:tcPr>
                <w:p>
                  <w:pPr>
                    <w:spacing w:after="80" w:before="80"/>
                    <w:jc w:val="center"/>
                  </w:pPr>
                  <w:r>
                    <w:rPr>
                      <w:rFonts w:ascii="Times New Roman" w:cs="Times New Roman" w:eastAsia="Times New Roman" w:hAnsi="Times New Roman"/>
                      <w:b w:val="false"/>
                      <w:bCs w:val="false"/>
                      <w:color w:val="555555"/>
                      <w:sz w:val="18"/>
                      <w:szCs w:val="18"/>
                    </w:rPr>
                    <w:t xml:space="preserve">Total Crime Index</w:t>
                  </w:r>
                </w:p>
                <w:p>
                  <w:pPr>
                    <w:spacing w:after="60"/>
                    <w:jc w:val="center"/>
                  </w:pPr>
                  <w:r>
                    <w:rPr>
                      <w:rFonts w:ascii="Times New Roman" w:cs="Times New Roman" w:eastAsia="Times New Roman" w:hAnsi="Times New Roman"/>
                      <w:b/>
                      <w:bCs/>
                      <w:color w:val="1A305B"/>
                      <w:sz w:val="44"/>
                      <w:szCs w:val="44"/>
                    </w:rPr>
                    <w:t xml:space="preserve">3998</w:t>
                  </w:r>
                </w:p>
                <w:p>
                  <w:pPr>
                    <w:spacing w:after="160"/>
                    <w:jc w:val="center"/>
                  </w:pPr>
                  <w:r>
                    <w:rPr>
                      <w:rFonts w:ascii="Times New Roman" w:cs="Times New Roman" w:eastAsia="Times New Roman" w:hAnsi="Times New Roman"/>
                      <w:color w:val="777777"/>
                      <w:sz w:val="20"/>
                      <w:szCs w:val="20"/>
                    </w:rPr>
                    <w:t xml:space="preserve">per 100k people</w:t>
                  </w:r>
                </w:p>
                <w:p>
                  <w:pPr>
                    <w:spacing w:after="80"/>
                    <w:jc w:val="center"/>
                  </w:pPr>
                  <w:r>
                    <w:rPr>
                      <w:rFonts w:ascii="Times New Roman" w:cs="Times New Roman" w:eastAsia="Times New Roman" w:hAnsi="Times New Roman"/>
                      <w:color w:val="1A305B"/>
                      <w:sz w:val="18"/>
                      <w:szCs w:val="18"/>
                    </w:rPr>
                    <w:t xml:space="preserve">113% higher than the US average</w:t>
                  </w:r>
                </w:p>
              </w:tc>
              <w:tc>
                <w:tcPr>
                  <w:tcW w:type="dxa" w:w="3066"/>
                  <w:tcBorders>
                    <w:top w:val="single" w:color="B0C4DE" w:sz="2"/>
                    <w:left w:val="single" w:color="B0C4DE" w:sz="2"/>
                    <w:bottom w:val="single" w:color="B0C4DE" w:sz="2"/>
                    <w:right w:val="single" w:color="B0C4DE" w:sz="2"/>
                  </w:tcBorders>
                  <w:shd w:fill="EBF2FA" w:color="auto" w:val="clear"/>
                  <w:tcMar>
                    <w:top w:type="dxa" w:w="200"/>
                    <w:left w:type="dxa" w:w="160"/>
                    <w:bottom w:type="dxa" w:w="200"/>
                    <w:right w:type="dxa" w:w="160"/>
                  </w:tcMar>
                </w:tcPr>
                <w:p>
                  <w:pPr>
                    <w:spacing w:after="80" w:before="80"/>
                    <w:jc w:val="center"/>
                  </w:pPr>
                  <w:r>
                    <w:rPr>
                      <w:rFonts w:ascii="Times New Roman" w:cs="Times New Roman" w:eastAsia="Times New Roman" w:hAnsi="Times New Roman"/>
                      <w:b w:val="false"/>
                      <w:bCs w:val="false"/>
                      <w:color w:val="555555"/>
                      <w:sz w:val="18"/>
                      <w:szCs w:val="18"/>
                    </w:rPr>
                    <w:t xml:space="preserve">Victim Risk</w:t>
                  </w:r>
                </w:p>
                <w:p>
                  <w:pPr>
                    <w:spacing w:after="60"/>
                    <w:jc w:val="center"/>
                  </w:pPr>
                  <w:r>
                    <w:rPr>
                      <w:rFonts w:ascii="Times New Roman" w:cs="Times New Roman" w:eastAsia="Times New Roman" w:hAnsi="Times New Roman"/>
                      <w:b/>
                      <w:bCs/>
                      <w:color w:val="1A305B"/>
                      <w:sz w:val="44"/>
                      <w:szCs w:val="44"/>
                    </w:rPr>
                    <w:t xml:space="preserve">1 in 25</w:t>
                  </w:r>
                </w:p>
                <w:p>
                  <w:pPr>
                    <w:spacing w:after="160"/>
                  </w:pPr>
                </w:p>
                <w:p>
                  <w:pPr>
                    <w:spacing w:after="80"/>
                    <w:jc w:val="center"/>
                  </w:pPr>
                  <w:r>
                    <w:rPr>
                      <w:rFonts w:ascii="Times New Roman" w:cs="Times New Roman" w:eastAsia="Times New Roman" w:hAnsi="Times New Roman"/>
                      <w:color w:val="1A305B"/>
                      <w:sz w:val="18"/>
                      <w:szCs w:val="18"/>
                    </w:rPr>
                    <w:t xml:space="preserve">113% higher than the US average</w:t>
                  </w:r>
                </w:p>
              </w:tc>
              <w:tc>
                <w:tcPr>
                  <w:tcW w:type="dxa" w:w="3066"/>
                  <w:tcBorders>
                    <w:top w:val="single" w:color="B0C4DE" w:sz="2"/>
                    <w:left w:val="single" w:color="B0C4DE" w:sz="2"/>
                    <w:bottom w:val="single" w:color="B0C4DE" w:sz="2"/>
                    <w:right w:val="single" w:color="B0C4DE" w:sz="2"/>
                  </w:tcBorders>
                  <w:shd w:fill="EBF2FA" w:color="auto" w:val="clear"/>
                  <w:tcMar>
                    <w:top w:type="dxa" w:w="200"/>
                    <w:left w:type="dxa" w:w="160"/>
                    <w:bottom w:type="dxa" w:w="200"/>
                    <w:right w:type="dxa" w:w="160"/>
                  </w:tcMar>
                </w:tcPr>
                <w:p>
                  <w:pPr>
                    <w:spacing w:after="80" w:before="80"/>
                    <w:jc w:val="center"/>
                  </w:pPr>
                  <w:r>
                    <w:rPr>
                      <w:rFonts w:ascii="Times New Roman" w:cs="Times New Roman" w:eastAsia="Times New Roman" w:hAnsi="Times New Roman"/>
                      <w:b w:val="false"/>
                      <w:bCs w:val="false"/>
                      <w:color w:val="555555"/>
                      <w:sz w:val="18"/>
                      <w:szCs w:val="18"/>
                    </w:rPr>
                    <w:t xml:space="preserve">Year-over-Year Change</w:t>
                  </w:r>
                </w:p>
                <w:p>
                  <w:pPr>
                    <w:spacing w:after="60"/>
                    <w:jc w:val="center"/>
                  </w:pPr>
                  <w:r>
                    <w:rPr>
                      <w:rFonts w:ascii="Times New Roman" w:cs="Times New Roman" w:eastAsia="Times New Roman" w:hAnsi="Times New Roman"/>
                      <w:b/>
                      <w:bCs/>
                      <w:color w:val="1A305B"/>
                      <w:sz w:val="44"/>
                      <w:szCs w:val="44"/>
                    </w:rPr>
                    <w:t xml:space="preserve">14%</w:t>
                  </w:r>
                </w:p>
                <w:p>
                  <w:pPr>
                    <w:spacing w:after="160"/>
                    <w:jc w:val="center"/>
                  </w:pPr>
                  <w:r>
                    <w:rPr>
                      <w:rFonts w:ascii="Times New Roman" w:cs="Times New Roman" w:eastAsia="Times New Roman" w:hAnsi="Times New Roman"/>
                      <w:color w:val="777777"/>
                      <w:sz w:val="20"/>
                      <w:szCs w:val="20"/>
                    </w:rPr>
                    <w:t xml:space="preserve">Violent -15% · Property -14% (reported offenses, 2024→2025)</w:t>
                  </w:r>
                </w:p>
                <w:p>
                  <w:pPr>
                    <w:spacing w:after="80"/>
                    <w:jc w:val="center"/>
                  </w:pPr>
                  <w:r>
                    <w:rPr>
                      <w:rFonts w:ascii="Times New Roman" w:cs="Times New Roman" w:eastAsia="Times New Roman" w:hAnsi="Times New Roman"/>
                      <w:color w:val="777777"/>
                      <w:sz w:val="18"/>
                      <w:szCs w:val="18"/>
                    </w:rPr>
                    <w:t xml:space="preserve">down</w:t>
                  </w:r>
                </w:p>
              </w:tc>
            </w:tr>
          </w:tbl>
          <w:p/>
        </w:tc>
      </w:tr>
    </w:tbl>
    <w:p>
      <w:pPr>
        <w:spacing w:after="160"/>
      </w:pPr>
    </w:p>
    <w:tbl>
      <w:tblPr>
        <w:tblW w:type="dxa" w:w="9360"/>
        <w:jc w:val="center"/>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800"/>
        <w:gridCol w:w="1640"/>
        <w:gridCol w:w="1640"/>
        <w:gridCol w:w="1640"/>
        <w:gridCol w:w="1640"/>
      </w:tblGrid>
      <w:tr>
        <w:tc>
          <w:tcPr>
            <w:tcW w:type="dxa" w:w="9360"/>
            <w:gridSpan w:val="5"/>
            <w:tcBorders>
              <w:top w:val="single" w:color="1A305B" w:sz="1"/>
              <w:left w:val="single" w:color="1A305B" w:sz="1"/>
              <w:bottom w:val="single" w:color="1A305B" w:sz="1"/>
              <w:right w:val="single" w:color="1A305B" w:sz="1"/>
            </w:tcBorders>
            <w:shd w:fill="1A305B" w:color="auto" w:val="clear"/>
            <w:tcMar>
              <w:top w:type="dxa" w:w="61"/>
              <w:left w:type="dxa" w:w="100"/>
              <w:bottom w:type="dxa" w:w="61"/>
              <w:right w:type="dxa" w:w="100"/>
            </w:tcMar>
          </w:tcPr>
          <w:p>
            <w:pPr>
              <w:jc w:val="center"/>
            </w:pPr>
            <w:r>
              <w:rPr>
                <w:rFonts w:ascii="Times New Roman" w:cs="Times New Roman" w:eastAsia="Times New Roman" w:hAnsi="Times New Roman"/>
                <w:b/>
                <w:bCs/>
                <w:color w:val="FFFFFF"/>
                <w:sz w:val="20"/>
                <w:szCs w:val="20"/>
              </w:rPr>
              <w:t xml:space="preserve">Crime Statistics — Chattanooga, TN</w:t>
            </w:r>
          </w:p>
        </w:tc>
      </w:tr>
      <w:tr>
        <w:tc>
          <w:tcPr>
            <w:tcW w:type="dxa" w:w="2800"/>
            <w:tcBorders>
              <w:top w:val="single" w:color="1A305B" w:sz="1"/>
              <w:left w:val="single" w:color="1A305B" w:sz="1"/>
              <w:bottom w:val="single" w:color="1A305B" w:sz="1"/>
              <w:right w:val="single" w:color="1A305B" w:sz="1"/>
            </w:tcBorders>
            <w:shd w:fill="FFFFFF" w:color="auto" w:val="clear"/>
            <w:tcMar>
              <w:top w:type="dxa" w:w="61"/>
              <w:left w:type="dxa" w:w="100"/>
              <w:bottom w:type="dxa" w:w="61"/>
              <w:right w:type="dxa" w:w="100"/>
            </w:tcMar>
          </w:tcPr>
          <w:p>
            <w:pPr>
              <w:jc w:val="center"/>
            </w:pPr>
            <w:r>
              <w:rPr>
                <w:rFonts w:ascii="Times New Roman" w:cs="Times New Roman" w:eastAsia="Times New Roman" w:hAnsi="Times New Roman"/>
                <w:b/>
                <w:bCs/>
                <w:color w:val="000000"/>
                <w:sz w:val="20"/>
                <w:szCs w:val="20"/>
              </w:rPr>
              <w:t xml:space="preserve">Statistic</w:t>
            </w:r>
          </w:p>
        </w:tc>
        <w:tc>
          <w:tcPr>
            <w:tcW w:type="dxa" w:w="1640"/>
            <w:tcBorders>
              <w:top w:val="single" w:color="1A305B" w:sz="1"/>
              <w:left w:val="single" w:color="1A305B" w:sz="1"/>
              <w:bottom w:val="single" w:color="1A305B" w:sz="1"/>
              <w:right w:val="single" w:color="1A305B" w:sz="1"/>
            </w:tcBorders>
            <w:shd w:fill="FFFFFF" w:color="auto" w:val="clear"/>
            <w:tcMar>
              <w:top w:type="dxa" w:w="61"/>
              <w:left w:type="dxa" w:w="100"/>
              <w:bottom w:type="dxa" w:w="61"/>
              <w:right w:type="dxa" w:w="100"/>
            </w:tcMar>
          </w:tcPr>
          <w:p>
            <w:pPr>
              <w:jc w:val="center"/>
            </w:pPr>
            <w:r>
              <w:rPr>
                <w:rFonts w:ascii="Times New Roman" w:cs="Times New Roman" w:eastAsia="Times New Roman" w:hAnsi="Times New Roman"/>
                <w:b/>
                <w:bCs/>
                <w:color w:val="000000"/>
                <w:sz w:val="20"/>
                <w:szCs w:val="20"/>
              </w:rPr>
              <w:t xml:space="preserve">Reported Incidents</w:t>
            </w:r>
          </w:p>
        </w:tc>
        <w:tc>
          <w:tcPr>
            <w:tcW w:type="dxa" w:w="1640"/>
            <w:tcBorders>
              <w:top w:val="single" w:color="1A305B" w:sz="1"/>
              <w:left w:val="single" w:color="1A305B" w:sz="1"/>
              <w:bottom w:val="single" w:color="1A305B" w:sz="1"/>
              <w:right w:val="single" w:color="1A305B" w:sz="1"/>
            </w:tcBorders>
            <w:shd w:fill="FFFFFF" w:color="auto" w:val="clear"/>
            <w:tcMar>
              <w:top w:type="dxa" w:w="61"/>
              <w:left w:type="dxa" w:w="100"/>
              <w:bottom w:type="dxa" w:w="61"/>
              <w:right w:type="dxa" w:w="100"/>
            </w:tcMar>
          </w:tcPr>
          <w:p>
            <w:pPr>
              <w:jc w:val="center"/>
            </w:pPr>
            <w:r>
              <w:rPr>
                <w:rFonts w:ascii="Times New Roman" w:cs="Times New Roman" w:eastAsia="Times New Roman" w:hAnsi="Times New Roman"/>
                <w:b/>
                <w:bCs/>
                <w:color w:val="000000"/>
                <w:sz w:val="20"/>
                <w:szCs w:val="20"/>
              </w:rPr>
              <w:t xml:space="preserve">Chattanooga
/100k</w:t>
            </w:r>
          </w:p>
        </w:tc>
        <w:tc>
          <w:tcPr>
            <w:tcW w:type="dxa" w:w="1640"/>
            <w:tcBorders>
              <w:top w:val="single" w:color="1A305B" w:sz="1"/>
              <w:left w:val="single" w:color="1A305B" w:sz="1"/>
              <w:bottom w:val="single" w:color="1A305B" w:sz="1"/>
              <w:right w:val="single" w:color="1A305B" w:sz="1"/>
            </w:tcBorders>
            <w:shd w:fill="FFFFFF" w:color="auto" w:val="clear"/>
            <w:tcMar>
              <w:top w:type="dxa" w:w="61"/>
              <w:left w:type="dxa" w:w="100"/>
              <w:bottom w:type="dxa" w:w="61"/>
              <w:right w:type="dxa" w:w="100"/>
            </w:tcMar>
          </w:tcPr>
          <w:p>
            <w:pPr>
              <w:jc w:val="center"/>
            </w:pPr>
            <w:r>
              <w:rPr>
                <w:rFonts w:ascii="Times New Roman" w:cs="Times New Roman" w:eastAsia="Times New Roman" w:hAnsi="Times New Roman"/>
                <w:b/>
                <w:bCs/>
                <w:color w:val="000000"/>
                <w:sz w:val="20"/>
                <w:szCs w:val="20"/>
              </w:rPr>
              <w:t xml:space="preserve">TN
/100k</w:t>
            </w:r>
          </w:p>
        </w:tc>
        <w:tc>
          <w:tcPr>
            <w:tcW w:type="dxa" w:w="1640"/>
            <w:tcBorders>
              <w:top w:val="single" w:color="1A305B" w:sz="1"/>
              <w:left w:val="single" w:color="1A305B" w:sz="1"/>
              <w:bottom w:val="single" w:color="1A305B" w:sz="1"/>
              <w:right w:val="single" w:color="1A305B" w:sz="1"/>
            </w:tcBorders>
            <w:shd w:fill="FFFFFF" w:color="auto" w:val="clear"/>
            <w:tcMar>
              <w:top w:type="dxa" w:w="61"/>
              <w:left w:type="dxa" w:w="100"/>
              <w:bottom w:type="dxa" w:w="61"/>
              <w:right w:type="dxa" w:w="100"/>
            </w:tcMar>
          </w:tcPr>
          <w:p>
            <w:pPr>
              <w:jc w:val="center"/>
            </w:pPr>
            <w:r>
              <w:rPr>
                <w:rFonts w:ascii="Times New Roman" w:cs="Times New Roman" w:eastAsia="Times New Roman" w:hAnsi="Times New Roman"/>
                <w:b/>
                <w:bCs/>
                <w:color w:val="000000"/>
                <w:sz w:val="20"/>
                <w:szCs w:val="20"/>
              </w:rPr>
              <w:t xml:space="preserve">National /100k</w:t>
            </w:r>
          </w:p>
        </w:tc>
      </w:tr>
      <w:tr>
        <w:tc>
          <w:tcPr>
            <w:tcW w:type="dxa" w:w="2800"/>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left"/>
            </w:pPr>
            <w:r>
              <w:rPr>
                <w:rFonts w:ascii="Times New Roman" w:cs="Times New Roman" w:eastAsia="Times New Roman" w:hAnsi="Times New Roman"/>
                <w:b w:val="false"/>
                <w:bCs w:val="false"/>
                <w:i w:val="false"/>
                <w:iCs w:val="false"/>
                <w:sz w:val="20"/>
                <w:szCs w:val="20"/>
              </w:rPr>
              <w:t xml:space="preserve">Total crime</w:t>
            </w:r>
          </w:p>
        </w:tc>
        <w:tc>
          <w:tcPr>
            <w:tcW w:type="dxa" w:w="1640"/>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b w:val="false"/>
                <w:bCs w:val="false"/>
                <w:i w:val="false"/>
                <w:iCs w:val="false"/>
                <w:sz w:val="20"/>
                <w:szCs w:val="20"/>
              </w:rPr>
              <w:t xml:space="preserve">7,752</w:t>
            </w:r>
          </w:p>
        </w:tc>
        <w:tc>
          <w:tcPr>
            <w:tcW w:type="dxa" w:w="1640"/>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b w:val="false"/>
                <w:bCs w:val="false"/>
                <w:i w:val="false"/>
                <w:iCs w:val="false"/>
                <w:sz w:val="20"/>
                <w:szCs w:val="20"/>
              </w:rPr>
              <w:t xml:space="preserve">3998</w:t>
            </w:r>
          </w:p>
        </w:tc>
        <w:tc>
          <w:tcPr>
            <w:tcW w:type="dxa" w:w="1640"/>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b w:val="false"/>
                <w:bCs w:val="false"/>
                <w:i w:val="false"/>
                <w:iCs w:val="false"/>
                <w:sz w:val="20"/>
                <w:szCs w:val="20"/>
              </w:rPr>
              <w:t xml:space="preserve">2160</w:t>
            </w:r>
          </w:p>
        </w:tc>
        <w:tc>
          <w:tcPr>
            <w:tcW w:type="dxa" w:w="1640"/>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b w:val="false"/>
                <w:bCs w:val="false"/>
                <w:i w:val="false"/>
                <w:iCs w:val="false"/>
                <w:sz w:val="20"/>
                <w:szCs w:val="20"/>
              </w:rPr>
              <w:t xml:space="preserve">1881</w:t>
            </w:r>
          </w:p>
        </w:tc>
      </w:tr>
      <w:tr>
        <w:tc>
          <w:tcPr>
            <w:tcW w:type="dxa" w:w="2800"/>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left"/>
            </w:pPr>
            <w:r>
              <w:rPr>
                <w:rFonts w:ascii="Times New Roman" w:cs="Times New Roman" w:eastAsia="Times New Roman" w:hAnsi="Times New Roman"/>
                <w:b w:val="false"/>
                <w:bCs w:val="false"/>
                <w:i w:val="false"/>
                <w:iCs w:val="false"/>
                <w:sz w:val="20"/>
                <w:szCs w:val="20"/>
              </w:rPr>
              <w:t xml:space="preserve">Murder</w:t>
            </w:r>
          </w:p>
        </w:tc>
        <w:tc>
          <w:tcPr>
            <w:tcW w:type="dxa" w:w="1640"/>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b w:val="false"/>
                <w:bCs w:val="false"/>
                <w:i w:val="false"/>
                <w:iCs w:val="false"/>
                <w:sz w:val="20"/>
                <w:szCs w:val="20"/>
              </w:rPr>
              <w:t xml:space="preserve">17</w:t>
            </w:r>
          </w:p>
        </w:tc>
        <w:tc>
          <w:tcPr>
            <w:tcW w:type="dxa" w:w="1640"/>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b w:val="false"/>
                <w:bCs w:val="false"/>
                <w:i w:val="false"/>
                <w:iCs w:val="false"/>
                <w:sz w:val="20"/>
                <w:szCs w:val="20"/>
              </w:rPr>
              <w:t xml:space="preserve">9</w:t>
            </w:r>
          </w:p>
        </w:tc>
        <w:tc>
          <w:tcPr>
            <w:tcW w:type="dxa" w:w="1640"/>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b w:val="false"/>
                <w:bCs w:val="false"/>
                <w:i w:val="false"/>
                <w:iCs w:val="false"/>
                <w:sz w:val="20"/>
                <w:szCs w:val="20"/>
              </w:rPr>
              <w:t xml:space="preserve">7</w:t>
            </w:r>
          </w:p>
        </w:tc>
        <w:tc>
          <w:tcPr>
            <w:tcW w:type="dxa" w:w="1640"/>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b w:val="false"/>
                <w:bCs w:val="false"/>
                <w:i w:val="false"/>
                <w:iCs w:val="false"/>
                <w:sz w:val="20"/>
                <w:szCs w:val="20"/>
              </w:rPr>
              <w:t xml:space="preserve">4</w:t>
            </w:r>
          </w:p>
        </w:tc>
      </w:tr>
      <w:tr>
        <w:tc>
          <w:tcPr>
            <w:tcW w:type="dxa" w:w="2800"/>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left"/>
            </w:pPr>
            <w:r>
              <w:rPr>
                <w:rFonts w:ascii="Times New Roman" w:cs="Times New Roman" w:eastAsia="Times New Roman" w:hAnsi="Times New Roman"/>
                <w:b w:val="false"/>
                <w:bCs w:val="false"/>
                <w:i w:val="false"/>
                <w:iCs w:val="false"/>
                <w:sz w:val="20"/>
                <w:szCs w:val="20"/>
              </w:rPr>
              <w:t xml:space="preserve">Rape</w:t>
            </w:r>
          </w:p>
        </w:tc>
        <w:tc>
          <w:tcPr>
            <w:tcW w:type="dxa" w:w="1640"/>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b w:val="false"/>
                <w:bCs w:val="false"/>
                <w:i w:val="false"/>
                <w:iCs w:val="false"/>
                <w:sz w:val="20"/>
                <w:szCs w:val="20"/>
              </w:rPr>
              <w:t xml:space="preserve">139</w:t>
            </w:r>
          </w:p>
        </w:tc>
        <w:tc>
          <w:tcPr>
            <w:tcW w:type="dxa" w:w="1640"/>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b w:val="false"/>
                <w:bCs w:val="false"/>
                <w:i w:val="false"/>
                <w:iCs w:val="false"/>
                <w:sz w:val="20"/>
                <w:szCs w:val="20"/>
              </w:rPr>
              <w:t xml:space="preserve">72</w:t>
            </w:r>
          </w:p>
        </w:tc>
        <w:tc>
          <w:tcPr>
            <w:tcW w:type="dxa" w:w="1640"/>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b w:val="false"/>
                <w:bCs w:val="false"/>
                <w:i w:val="false"/>
                <w:iCs w:val="false"/>
                <w:sz w:val="20"/>
                <w:szCs w:val="20"/>
              </w:rPr>
              <w:t xml:space="preserve">37</w:t>
            </w:r>
          </w:p>
        </w:tc>
        <w:tc>
          <w:tcPr>
            <w:tcW w:type="dxa" w:w="1640"/>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b w:val="false"/>
                <w:bCs w:val="false"/>
                <w:i w:val="false"/>
                <w:iCs w:val="false"/>
                <w:sz w:val="20"/>
                <w:szCs w:val="20"/>
              </w:rPr>
              <w:t xml:space="preserve">37</w:t>
            </w:r>
          </w:p>
        </w:tc>
      </w:tr>
      <w:tr>
        <w:tc>
          <w:tcPr>
            <w:tcW w:type="dxa" w:w="2800"/>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left"/>
            </w:pPr>
            <w:r>
              <w:rPr>
                <w:rFonts w:ascii="Times New Roman" w:cs="Times New Roman" w:eastAsia="Times New Roman" w:hAnsi="Times New Roman"/>
                <w:b w:val="false"/>
                <w:bCs w:val="false"/>
                <w:i w:val="false"/>
                <w:iCs w:val="false"/>
                <w:sz w:val="20"/>
                <w:szCs w:val="20"/>
              </w:rPr>
              <w:t xml:space="preserve">Robbery</w:t>
            </w:r>
          </w:p>
        </w:tc>
        <w:tc>
          <w:tcPr>
            <w:tcW w:type="dxa" w:w="1640"/>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b w:val="false"/>
                <w:bCs w:val="false"/>
                <w:i w:val="false"/>
                <w:iCs w:val="false"/>
                <w:sz w:val="20"/>
                <w:szCs w:val="20"/>
              </w:rPr>
              <w:t xml:space="preserve">141</w:t>
            </w:r>
          </w:p>
        </w:tc>
        <w:tc>
          <w:tcPr>
            <w:tcW w:type="dxa" w:w="1640"/>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b w:val="false"/>
                <w:bCs w:val="false"/>
                <w:i w:val="false"/>
                <w:iCs w:val="false"/>
                <w:sz w:val="20"/>
                <w:szCs w:val="20"/>
              </w:rPr>
              <w:t xml:space="preserve">73</w:t>
            </w:r>
          </w:p>
        </w:tc>
        <w:tc>
          <w:tcPr>
            <w:tcW w:type="dxa" w:w="1640"/>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b w:val="false"/>
                <w:bCs w:val="false"/>
                <w:i w:val="false"/>
                <w:iCs w:val="false"/>
                <w:sz w:val="20"/>
                <w:szCs w:val="20"/>
              </w:rPr>
              <w:t xml:space="preserve">42</w:t>
            </w:r>
          </w:p>
        </w:tc>
        <w:tc>
          <w:tcPr>
            <w:tcW w:type="dxa" w:w="1640"/>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b w:val="false"/>
                <w:bCs w:val="false"/>
                <w:i w:val="false"/>
                <w:iCs w:val="false"/>
                <w:sz w:val="20"/>
                <w:szCs w:val="20"/>
              </w:rPr>
              <w:t xml:space="preserve">50</w:t>
            </w:r>
          </w:p>
        </w:tc>
      </w:tr>
      <w:tr>
        <w:tc>
          <w:tcPr>
            <w:tcW w:type="dxa" w:w="2800"/>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left"/>
            </w:pPr>
            <w:r>
              <w:rPr>
                <w:rFonts w:ascii="Times New Roman" w:cs="Times New Roman" w:eastAsia="Times New Roman" w:hAnsi="Times New Roman"/>
                <w:b w:val="false"/>
                <w:bCs w:val="false"/>
                <w:i w:val="false"/>
                <w:iCs w:val="false"/>
                <w:sz w:val="20"/>
                <w:szCs w:val="20"/>
              </w:rPr>
              <w:t xml:space="preserve">Assault</w:t>
            </w:r>
          </w:p>
        </w:tc>
        <w:tc>
          <w:tcPr>
            <w:tcW w:type="dxa" w:w="1640"/>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b w:val="false"/>
                <w:bCs w:val="false"/>
                <w:i w:val="false"/>
                <w:iCs w:val="false"/>
                <w:sz w:val="20"/>
                <w:szCs w:val="20"/>
              </w:rPr>
              <w:t xml:space="preserve">1,021</w:t>
            </w:r>
          </w:p>
        </w:tc>
        <w:tc>
          <w:tcPr>
            <w:tcW w:type="dxa" w:w="1640"/>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b w:val="false"/>
                <w:bCs w:val="false"/>
                <w:i w:val="false"/>
                <w:iCs w:val="false"/>
                <w:sz w:val="20"/>
                <w:szCs w:val="20"/>
              </w:rPr>
              <w:t xml:space="preserve">527</w:t>
            </w:r>
          </w:p>
        </w:tc>
        <w:tc>
          <w:tcPr>
            <w:tcW w:type="dxa" w:w="1640"/>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b w:val="false"/>
                <w:bCs w:val="false"/>
                <w:i w:val="false"/>
                <w:iCs w:val="false"/>
                <w:sz w:val="20"/>
                <w:szCs w:val="20"/>
              </w:rPr>
              <w:t xml:space="preserve">414</w:t>
            </w:r>
          </w:p>
        </w:tc>
        <w:tc>
          <w:tcPr>
            <w:tcW w:type="dxa" w:w="1640"/>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b w:val="false"/>
                <w:bCs w:val="false"/>
                <w:i w:val="false"/>
                <w:iCs w:val="false"/>
                <w:sz w:val="20"/>
                <w:szCs w:val="20"/>
              </w:rPr>
              <w:t xml:space="preserve">238</w:t>
            </w:r>
          </w:p>
        </w:tc>
      </w:tr>
      <w:tr>
        <w:tc>
          <w:tcPr>
            <w:tcW w:type="dxa" w:w="2800"/>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left"/>
            </w:pPr>
            <w:r>
              <w:rPr>
                <w:rFonts w:ascii="Times New Roman" w:cs="Times New Roman" w:eastAsia="Times New Roman" w:hAnsi="Times New Roman"/>
                <w:b w:val="false"/>
                <w:bCs w:val="false"/>
                <w:i w:val="false"/>
                <w:iCs w:val="false"/>
                <w:sz w:val="20"/>
                <w:szCs w:val="20"/>
              </w:rPr>
              <w:t xml:space="preserve">Violent crime</w:t>
            </w:r>
          </w:p>
        </w:tc>
        <w:tc>
          <w:tcPr>
            <w:tcW w:type="dxa" w:w="1640"/>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b w:val="false"/>
                <w:bCs w:val="false"/>
                <w:i w:val="false"/>
                <w:iCs w:val="false"/>
                <w:sz w:val="20"/>
                <w:szCs w:val="20"/>
              </w:rPr>
              <w:t xml:space="preserve">1,318</w:t>
            </w:r>
          </w:p>
        </w:tc>
        <w:tc>
          <w:tcPr>
            <w:tcW w:type="dxa" w:w="1640"/>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b w:val="false"/>
                <w:bCs w:val="false"/>
                <w:i w:val="false"/>
                <w:iCs w:val="false"/>
                <w:sz w:val="20"/>
                <w:szCs w:val="20"/>
              </w:rPr>
              <w:t xml:space="preserve">680</w:t>
            </w:r>
          </w:p>
        </w:tc>
        <w:tc>
          <w:tcPr>
            <w:tcW w:type="dxa" w:w="1640"/>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b w:val="false"/>
                <w:bCs w:val="false"/>
                <w:i w:val="false"/>
                <w:iCs w:val="false"/>
                <w:sz w:val="20"/>
                <w:szCs w:val="20"/>
              </w:rPr>
              <w:t xml:space="preserve">499</w:t>
            </w:r>
          </w:p>
        </w:tc>
        <w:tc>
          <w:tcPr>
            <w:tcW w:type="dxa" w:w="1640"/>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b w:val="false"/>
                <w:bCs w:val="false"/>
                <w:i w:val="false"/>
                <w:iCs w:val="false"/>
                <w:sz w:val="20"/>
                <w:szCs w:val="20"/>
              </w:rPr>
              <w:t xml:space="preserve">329</w:t>
            </w:r>
          </w:p>
        </w:tc>
      </w:tr>
      <w:tr>
        <w:tc>
          <w:tcPr>
            <w:tcW w:type="dxa" w:w="2800"/>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left"/>
            </w:pPr>
            <w:r>
              <w:rPr>
                <w:rFonts w:ascii="Times New Roman" w:cs="Times New Roman" w:eastAsia="Times New Roman" w:hAnsi="Times New Roman"/>
                <w:b w:val="false"/>
                <w:bCs w:val="false"/>
                <w:i w:val="false"/>
                <w:iCs w:val="false"/>
                <w:sz w:val="20"/>
                <w:szCs w:val="20"/>
              </w:rPr>
              <w:t xml:space="preserve">Burglary</w:t>
            </w:r>
          </w:p>
        </w:tc>
        <w:tc>
          <w:tcPr>
            <w:tcW w:type="dxa" w:w="1640"/>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b w:val="false"/>
                <w:bCs w:val="false"/>
                <w:i w:val="false"/>
                <w:iCs w:val="false"/>
                <w:sz w:val="20"/>
                <w:szCs w:val="20"/>
              </w:rPr>
              <w:t xml:space="preserve">692</w:t>
            </w:r>
          </w:p>
        </w:tc>
        <w:tc>
          <w:tcPr>
            <w:tcW w:type="dxa" w:w="1640"/>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b w:val="false"/>
                <w:bCs w:val="false"/>
                <w:i w:val="false"/>
                <w:iCs w:val="false"/>
                <w:sz w:val="20"/>
                <w:szCs w:val="20"/>
              </w:rPr>
              <w:t xml:space="preserve">357</w:t>
            </w:r>
          </w:p>
        </w:tc>
        <w:tc>
          <w:tcPr>
            <w:tcW w:type="dxa" w:w="1640"/>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b w:val="false"/>
                <w:bCs w:val="false"/>
                <w:i w:val="false"/>
                <w:iCs w:val="false"/>
                <w:sz w:val="20"/>
                <w:szCs w:val="20"/>
              </w:rPr>
              <w:t xml:space="preserve">207</w:t>
            </w:r>
          </w:p>
        </w:tc>
        <w:tc>
          <w:tcPr>
            <w:tcW w:type="dxa" w:w="1640"/>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b w:val="false"/>
                <w:bCs w:val="false"/>
                <w:i w:val="false"/>
                <w:iCs w:val="false"/>
                <w:sz w:val="20"/>
                <w:szCs w:val="20"/>
              </w:rPr>
              <w:t xml:space="preserve">195</w:t>
            </w:r>
          </w:p>
        </w:tc>
      </w:tr>
      <w:tr>
        <w:tc>
          <w:tcPr>
            <w:tcW w:type="dxa" w:w="2800"/>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left"/>
            </w:pPr>
            <w:r>
              <w:rPr>
                <w:rFonts w:ascii="Times New Roman" w:cs="Times New Roman" w:eastAsia="Times New Roman" w:hAnsi="Times New Roman"/>
                <w:b w:val="false"/>
                <w:bCs w:val="false"/>
                <w:i w:val="false"/>
                <w:iCs w:val="false"/>
                <w:sz w:val="20"/>
                <w:szCs w:val="20"/>
              </w:rPr>
              <w:t xml:space="preserve">Theft</w:t>
            </w:r>
          </w:p>
        </w:tc>
        <w:tc>
          <w:tcPr>
            <w:tcW w:type="dxa" w:w="1640"/>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b w:val="false"/>
                <w:bCs w:val="false"/>
                <w:i w:val="false"/>
                <w:iCs w:val="false"/>
                <w:sz w:val="20"/>
                <w:szCs w:val="20"/>
              </w:rPr>
              <w:t xml:space="preserve">4,894</w:t>
            </w:r>
          </w:p>
        </w:tc>
        <w:tc>
          <w:tcPr>
            <w:tcW w:type="dxa" w:w="1640"/>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b w:val="false"/>
                <w:bCs w:val="false"/>
                <w:i w:val="false"/>
                <w:iCs w:val="false"/>
                <w:sz w:val="20"/>
                <w:szCs w:val="20"/>
              </w:rPr>
              <w:t xml:space="preserve">2524</w:t>
            </w:r>
          </w:p>
        </w:tc>
        <w:tc>
          <w:tcPr>
            <w:tcW w:type="dxa" w:w="1640"/>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b w:val="false"/>
                <w:bCs w:val="false"/>
                <w:i w:val="false"/>
                <w:iCs w:val="false"/>
                <w:sz w:val="20"/>
                <w:szCs w:val="20"/>
              </w:rPr>
              <w:t xml:space="preserve">1215</w:t>
            </w:r>
          </w:p>
        </w:tc>
        <w:tc>
          <w:tcPr>
            <w:tcW w:type="dxa" w:w="1640"/>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b w:val="false"/>
                <w:bCs w:val="false"/>
                <w:i w:val="false"/>
                <w:iCs w:val="false"/>
                <w:sz w:val="20"/>
                <w:szCs w:val="20"/>
              </w:rPr>
              <w:t xml:space="preserve">1147</w:t>
            </w:r>
          </w:p>
        </w:tc>
      </w:tr>
      <w:tr>
        <w:tc>
          <w:tcPr>
            <w:tcW w:type="dxa" w:w="2800"/>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left"/>
            </w:pPr>
            <w:r>
              <w:rPr>
                <w:rFonts w:ascii="Times New Roman" w:cs="Times New Roman" w:eastAsia="Times New Roman" w:hAnsi="Times New Roman"/>
                <w:b w:val="false"/>
                <w:bCs w:val="false"/>
                <w:i w:val="false"/>
                <w:iCs w:val="false"/>
                <w:sz w:val="20"/>
                <w:szCs w:val="20"/>
              </w:rPr>
              <w:t xml:space="preserve">Vehicle theft</w:t>
            </w:r>
          </w:p>
        </w:tc>
        <w:tc>
          <w:tcPr>
            <w:tcW w:type="dxa" w:w="1640"/>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b w:val="false"/>
                <w:bCs w:val="false"/>
                <w:i w:val="false"/>
                <w:iCs w:val="false"/>
                <w:sz w:val="20"/>
                <w:szCs w:val="20"/>
              </w:rPr>
              <w:t xml:space="preserve">834</w:t>
            </w:r>
          </w:p>
        </w:tc>
        <w:tc>
          <w:tcPr>
            <w:tcW w:type="dxa" w:w="1640"/>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b w:val="false"/>
                <w:bCs w:val="false"/>
                <w:i w:val="false"/>
                <w:iCs w:val="false"/>
                <w:sz w:val="20"/>
                <w:szCs w:val="20"/>
              </w:rPr>
              <w:t xml:space="preserve">430</w:t>
            </w:r>
          </w:p>
        </w:tc>
        <w:tc>
          <w:tcPr>
            <w:tcW w:type="dxa" w:w="1640"/>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b w:val="false"/>
                <w:bCs w:val="false"/>
                <w:i w:val="false"/>
                <w:iCs w:val="false"/>
                <w:sz w:val="20"/>
                <w:szCs w:val="20"/>
              </w:rPr>
              <w:t xml:space="preserve">229</w:t>
            </w:r>
          </w:p>
        </w:tc>
        <w:tc>
          <w:tcPr>
            <w:tcW w:type="dxa" w:w="1640"/>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b w:val="false"/>
                <w:bCs w:val="false"/>
                <w:i w:val="false"/>
                <w:iCs w:val="false"/>
                <w:sz w:val="20"/>
                <w:szCs w:val="20"/>
              </w:rPr>
              <w:t xml:space="preserve">200</w:t>
            </w:r>
          </w:p>
        </w:tc>
      </w:tr>
      <w:tr>
        <w:tc>
          <w:tcPr>
            <w:tcW w:type="dxa" w:w="2800"/>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left"/>
            </w:pPr>
            <w:r>
              <w:rPr>
                <w:rFonts w:ascii="Times New Roman" w:cs="Times New Roman" w:eastAsia="Times New Roman" w:hAnsi="Times New Roman"/>
                <w:b w:val="false"/>
                <w:bCs w:val="false"/>
                <w:i w:val="false"/>
                <w:iCs w:val="false"/>
                <w:sz w:val="20"/>
                <w:szCs w:val="20"/>
              </w:rPr>
              <w:t xml:space="preserve">Property crime</w:t>
            </w:r>
          </w:p>
        </w:tc>
        <w:tc>
          <w:tcPr>
            <w:tcW w:type="dxa" w:w="1640"/>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b w:val="false"/>
                <w:bCs w:val="false"/>
                <w:i w:val="false"/>
                <w:iCs w:val="false"/>
                <w:sz w:val="20"/>
                <w:szCs w:val="20"/>
              </w:rPr>
              <w:t xml:space="preserve">6,434</w:t>
            </w:r>
          </w:p>
        </w:tc>
        <w:tc>
          <w:tcPr>
            <w:tcW w:type="dxa" w:w="1640"/>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b w:val="false"/>
                <w:bCs w:val="false"/>
                <w:i w:val="false"/>
                <w:iCs w:val="false"/>
                <w:sz w:val="20"/>
                <w:szCs w:val="20"/>
              </w:rPr>
              <w:t xml:space="preserve">3319</w:t>
            </w:r>
          </w:p>
        </w:tc>
        <w:tc>
          <w:tcPr>
            <w:tcW w:type="dxa" w:w="1640"/>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b w:val="false"/>
                <w:bCs w:val="false"/>
                <w:i w:val="false"/>
                <w:iCs w:val="false"/>
                <w:sz w:val="20"/>
                <w:szCs w:val="20"/>
              </w:rPr>
              <w:t xml:space="preserve">1661</w:t>
            </w:r>
          </w:p>
        </w:tc>
        <w:tc>
          <w:tcPr>
            <w:tcW w:type="dxa" w:w="1640"/>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b w:val="false"/>
                <w:bCs w:val="false"/>
                <w:i w:val="false"/>
                <w:iCs w:val="false"/>
                <w:sz w:val="20"/>
                <w:szCs w:val="20"/>
              </w:rPr>
              <w:t xml:space="preserve">1552</w:t>
            </w:r>
          </w:p>
        </w:tc>
      </w:tr>
    </w:tbl>
    <w:p>
      <w:pPr>
        <w:spacing w:after="120"/>
        <w:jc w:val="both"/>
      </w:pPr>
      <w:r>
        <w:rPr>
          <w:rFonts w:ascii="Times New Roman" w:cs="Times New Roman" w:eastAsia="Times New Roman" w:hAnsi="Times New Roman"/>
          <w:color w:val="000000"/>
          <w:sz w:val="24"/>
          <w:szCs w:val="24"/>
        </w:rPr>
        <w:t xml:space="preserve">After inspection and observation of the Subject’s neighborhood, we do not anticipate the overall crime statistics will affect the marketability for the Subject.</w:t>
      </w:r>
    </w:p>
    <w:p>
      <w:r>
        <w:br w:type="page"/>
      </w:r>
    </w:p>
    <w:p>
      <w:pPr>
        <w:pStyle w:val="Heading1"/>
        <w:spacing w:after="0" w:before="0"/>
      </w:pPr>
      <w:r>
        <w:rPr>
          <w:rFonts w:ascii="Times New Roman" w:cs="Times New Roman" w:eastAsia="Times New Roman" w:hAnsi="Times New Roman"/>
          <w:b/>
          <w:bCs/>
          <w:i w:val="false"/>
          <w:iCs w:val="false"/>
          <w:color w:val="000000"/>
          <w:sz w:val="24"/>
          <w:szCs w:val="24"/>
        </w:rPr>
        <w:t xml:space="preserve">Major Employers</w:t>
      </w:r>
    </w:p>
    <w:tbl>
      <w:tblPr>
        <w:tblW w:type="dxa" w:w="9360"/>
        <w:jc w:val="center"/>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960"/>
        <w:gridCol w:w="2200"/>
        <w:gridCol w:w="1600"/>
        <w:gridCol w:w="1600"/>
      </w:tblGrid>
      <w:tr>
        <w:tc>
          <w:tcPr>
            <w:tcW w:type="dxa" w:w="9360"/>
            <w:gridSpan w:val="4"/>
            <w:tcBorders>
              <w:top w:val="single" w:color="1A305B" w:sz="1"/>
              <w:left w:val="single" w:color="1A305B" w:sz="1"/>
              <w:bottom w:val="single" w:color="1A305B" w:sz="1"/>
              <w:right w:val="single" w:color="1A305B" w:sz="1"/>
            </w:tcBorders>
            <w:shd w:fill="1A305B" w:color="auto" w:val="clear"/>
            <w:tcMar>
              <w:top w:type="dxa" w:w="61"/>
              <w:left w:type="dxa" w:w="100"/>
              <w:bottom w:type="dxa" w:w="61"/>
              <w:right w:type="dxa" w:w="100"/>
            </w:tcMar>
          </w:tcPr>
          <w:p>
            <w:pPr>
              <w:jc w:val="center"/>
            </w:pPr>
            <w:r>
              <w:rPr>
                <w:rFonts w:ascii="Times New Roman" w:cs="Times New Roman" w:eastAsia="Times New Roman" w:hAnsi="Times New Roman"/>
                <w:b/>
                <w:bCs/>
                <w:color w:val="FFFFFF"/>
                <w:sz w:val="20"/>
                <w:szCs w:val="20"/>
              </w:rPr>
              <w:t xml:space="preserve">Major Employers — Chattanooga, TN — 2025</w:t>
            </w:r>
          </w:p>
        </w:tc>
      </w:tr>
      <w:tr>
        <w:tc>
          <w:tcPr>
            <w:tcW w:type="dxa" w:w="3960"/>
            <w:tcBorders>
              <w:top w:val="single" w:color="1A305B" w:sz="1"/>
              <w:left w:val="single" w:color="1A305B" w:sz="1"/>
              <w:bottom w:val="single" w:color="1A305B" w:sz="1"/>
              <w:right w:val="single" w:color="1A305B" w:sz="1"/>
            </w:tcBorders>
            <w:shd w:fill="FFFFFF" w:color="auto" w:val="clear"/>
            <w:tcMar>
              <w:top w:type="dxa" w:w="61"/>
              <w:left w:type="dxa" w:w="100"/>
              <w:bottom w:type="dxa" w:w="61"/>
              <w:right w:type="dxa" w:w="100"/>
            </w:tcMar>
          </w:tcPr>
          <w:p>
            <w:pPr>
              <w:jc w:val="center"/>
            </w:pPr>
            <w:r>
              <w:rPr>
                <w:rFonts w:ascii="Times New Roman" w:cs="Times New Roman" w:eastAsia="Times New Roman" w:hAnsi="Times New Roman"/>
                <w:b/>
                <w:bCs/>
                <w:color w:val="000000"/>
                <w:sz w:val="20"/>
                <w:szCs w:val="20"/>
              </w:rPr>
              <w:t xml:space="preserve">Employer</w:t>
            </w:r>
          </w:p>
        </w:tc>
        <w:tc>
          <w:tcPr>
            <w:tcW w:type="dxa" w:w="2200"/>
            <w:tcBorders>
              <w:top w:val="single" w:color="1A305B" w:sz="1"/>
              <w:left w:val="single" w:color="1A305B" w:sz="1"/>
              <w:bottom w:val="single" w:color="1A305B" w:sz="1"/>
              <w:right w:val="single" w:color="1A305B" w:sz="1"/>
            </w:tcBorders>
            <w:shd w:fill="FFFFFF" w:color="auto" w:val="clear"/>
            <w:tcMar>
              <w:top w:type="dxa" w:w="61"/>
              <w:left w:type="dxa" w:w="100"/>
              <w:bottom w:type="dxa" w:w="61"/>
              <w:right w:type="dxa" w:w="100"/>
            </w:tcMar>
          </w:tcPr>
          <w:p>
            <w:pPr>
              <w:jc w:val="center"/>
            </w:pPr>
            <w:r>
              <w:rPr>
                <w:rFonts w:ascii="Times New Roman" w:cs="Times New Roman" w:eastAsia="Times New Roman" w:hAnsi="Times New Roman"/>
                <w:b/>
                <w:bCs/>
                <w:color w:val="000000"/>
                <w:sz w:val="20"/>
                <w:szCs w:val="20"/>
              </w:rPr>
              <w:t xml:space="preserve">% of Total Employment (as published)</w:t>
            </w:r>
          </w:p>
        </w:tc>
        <w:tc>
          <w:tcPr>
            <w:tcW w:type="dxa" w:w="1600"/>
            <w:tcBorders>
              <w:top w:val="single" w:color="1A305B" w:sz="1"/>
              <w:left w:val="single" w:color="1A305B" w:sz="1"/>
              <w:bottom w:val="single" w:color="1A305B" w:sz="1"/>
              <w:right w:val="single" w:color="1A305B" w:sz="1"/>
            </w:tcBorders>
            <w:shd w:fill="FFFFFF" w:color="auto" w:val="clear"/>
            <w:tcMar>
              <w:top w:type="dxa" w:w="61"/>
              <w:left w:type="dxa" w:w="100"/>
              <w:bottom w:type="dxa" w:w="61"/>
              <w:right w:type="dxa" w:w="100"/>
            </w:tcMar>
          </w:tcPr>
          <w:p>
            <w:pPr>
              <w:jc w:val="center"/>
            </w:pPr>
            <w:r>
              <w:rPr>
                <w:rFonts w:ascii="Times New Roman" w:cs="Times New Roman" w:eastAsia="Times New Roman" w:hAnsi="Times New Roman"/>
                <w:b/>
                <w:bCs/>
                <w:color w:val="000000"/>
                <w:sz w:val="20"/>
                <w:szCs w:val="20"/>
              </w:rPr>
              <w:t xml:space="preserve">Employees</w:t>
            </w:r>
          </w:p>
        </w:tc>
        <w:tc>
          <w:tcPr>
            <w:tcW w:type="dxa" w:w="1600"/>
            <w:tcBorders>
              <w:top w:val="single" w:color="1A305B" w:sz="1"/>
              <w:left w:val="single" w:color="1A305B" w:sz="1"/>
              <w:bottom w:val="single" w:color="1A305B" w:sz="1"/>
              <w:right w:val="single" w:color="1A305B" w:sz="1"/>
            </w:tcBorders>
            <w:shd w:fill="FFFFFF" w:color="auto" w:val="clear"/>
            <w:tcMar>
              <w:top w:type="dxa" w:w="61"/>
              <w:left w:type="dxa" w:w="100"/>
              <w:bottom w:type="dxa" w:w="61"/>
              <w:right w:type="dxa" w:w="100"/>
            </w:tcMar>
          </w:tcPr>
          <w:p>
            <w:pPr>
              <w:jc w:val="center"/>
            </w:pPr>
            <w:r>
              <w:rPr>
                <w:rFonts w:ascii="Times New Roman" w:cs="Times New Roman" w:eastAsia="Times New Roman" w:hAnsi="Times New Roman"/>
                <w:b/>
                <w:bCs/>
                <w:color w:val="000000"/>
                <w:sz w:val="20"/>
                <w:szCs w:val="20"/>
              </w:rPr>
              <w:t xml:space="preserve">Rank</w:t>
            </w:r>
          </w:p>
        </w:tc>
      </w:tr>
      <w:tr>
        <w:tc>
          <w:tcPr>
            <w:tcW w:type="dxa" w:w="3960"/>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color w:val="000000"/>
                <w:sz w:val="20"/>
                <w:szCs w:val="20"/>
              </w:rPr>
              <w:t xml:space="preserve">Erlanger Health System</w:t>
            </w:r>
          </w:p>
        </w:tc>
        <w:tc>
          <w:tcPr>
            <w:tcW w:type="dxa" w:w="2200"/>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color w:val="000000"/>
                <w:sz w:val="20"/>
                <w:szCs w:val="20"/>
              </w:rPr>
              <w:t xml:space="preserve">3.11%</w:t>
            </w:r>
          </w:p>
        </w:tc>
        <w:tc>
          <w:tcPr>
            <w:tcW w:type="dxa" w:w="1600"/>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color w:val="000000"/>
                <w:sz w:val="20"/>
                <w:szCs w:val="20"/>
              </w:rPr>
              <w:t xml:space="preserve">5,994</w:t>
            </w:r>
          </w:p>
        </w:tc>
        <w:tc>
          <w:tcPr>
            <w:tcW w:type="dxa" w:w="1600"/>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color w:val="000000"/>
                <w:sz w:val="20"/>
                <w:szCs w:val="20"/>
              </w:rPr>
              <w:t xml:space="preserve">1</w:t>
            </w:r>
          </w:p>
        </w:tc>
      </w:tr>
      <w:tr>
        <w:tc>
          <w:tcPr>
            <w:tcW w:type="dxa" w:w="3960"/>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color w:val="000000"/>
                <w:sz w:val="20"/>
                <w:szCs w:val="20"/>
              </w:rPr>
              <w:t xml:space="preserve">Hamilton County Schools</w:t>
            </w:r>
          </w:p>
        </w:tc>
        <w:tc>
          <w:tcPr>
            <w:tcW w:type="dxa" w:w="2200"/>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color w:val="000000"/>
                <w:sz w:val="20"/>
                <w:szCs w:val="20"/>
              </w:rPr>
              <w:t xml:space="preserve">3.00%</w:t>
            </w:r>
          </w:p>
        </w:tc>
        <w:tc>
          <w:tcPr>
            <w:tcW w:type="dxa" w:w="1600"/>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color w:val="000000"/>
                <w:sz w:val="20"/>
                <w:szCs w:val="20"/>
              </w:rPr>
              <w:t xml:space="preserve">5,781</w:t>
            </w:r>
          </w:p>
        </w:tc>
        <w:tc>
          <w:tcPr>
            <w:tcW w:type="dxa" w:w="1600"/>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color w:val="000000"/>
                <w:sz w:val="20"/>
                <w:szCs w:val="20"/>
              </w:rPr>
              <w:t xml:space="preserve">2</w:t>
            </w:r>
          </w:p>
        </w:tc>
      </w:tr>
      <w:tr>
        <w:tc>
          <w:tcPr>
            <w:tcW w:type="dxa" w:w="3960"/>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color w:val="000000"/>
                <w:sz w:val="20"/>
                <w:szCs w:val="20"/>
              </w:rPr>
              <w:t xml:space="preserve">Volkswagen Chattanooga</w:t>
            </w:r>
          </w:p>
        </w:tc>
        <w:tc>
          <w:tcPr>
            <w:tcW w:type="dxa" w:w="2200"/>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color w:val="000000"/>
                <w:sz w:val="20"/>
                <w:szCs w:val="20"/>
              </w:rPr>
              <w:t xml:space="preserve">2.72%</w:t>
            </w:r>
          </w:p>
        </w:tc>
        <w:tc>
          <w:tcPr>
            <w:tcW w:type="dxa" w:w="1600"/>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color w:val="000000"/>
                <w:sz w:val="20"/>
                <w:szCs w:val="20"/>
              </w:rPr>
              <w:t xml:space="preserve">5,239</w:t>
            </w:r>
          </w:p>
        </w:tc>
        <w:tc>
          <w:tcPr>
            <w:tcW w:type="dxa" w:w="1600"/>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color w:val="000000"/>
                <w:sz w:val="20"/>
                <w:szCs w:val="20"/>
              </w:rPr>
              <w:t xml:space="preserve">3</w:t>
            </w:r>
          </w:p>
        </w:tc>
      </w:tr>
      <w:tr>
        <w:tc>
          <w:tcPr>
            <w:tcW w:type="dxa" w:w="3960"/>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color w:val="000000"/>
                <w:sz w:val="20"/>
                <w:szCs w:val="20"/>
              </w:rPr>
              <w:t xml:space="preserve">Blue Cross Blue Shield of Tennessee</w:t>
            </w:r>
          </w:p>
        </w:tc>
        <w:tc>
          <w:tcPr>
            <w:tcW w:type="dxa" w:w="2200"/>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color w:val="000000"/>
                <w:sz w:val="20"/>
                <w:szCs w:val="20"/>
              </w:rPr>
              <w:t xml:space="preserve">2.15%</w:t>
            </w:r>
          </w:p>
        </w:tc>
        <w:tc>
          <w:tcPr>
            <w:tcW w:type="dxa" w:w="1600"/>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color w:val="000000"/>
                <w:sz w:val="20"/>
                <w:szCs w:val="20"/>
              </w:rPr>
              <w:t xml:space="preserve">4,145</w:t>
            </w:r>
          </w:p>
        </w:tc>
        <w:tc>
          <w:tcPr>
            <w:tcW w:type="dxa" w:w="1600"/>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color w:val="000000"/>
                <w:sz w:val="20"/>
                <w:szCs w:val="20"/>
              </w:rPr>
              <w:t xml:space="preserve">4</w:t>
            </w:r>
          </w:p>
        </w:tc>
      </w:tr>
      <w:tr>
        <w:tc>
          <w:tcPr>
            <w:tcW w:type="dxa" w:w="3960"/>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color w:val="000000"/>
                <w:sz w:val="20"/>
                <w:szCs w:val="20"/>
              </w:rPr>
              <w:t xml:space="preserve">Tennessee Valley Authority</w:t>
            </w:r>
          </w:p>
        </w:tc>
        <w:tc>
          <w:tcPr>
            <w:tcW w:type="dxa" w:w="2200"/>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color w:val="000000"/>
                <w:sz w:val="20"/>
                <w:szCs w:val="20"/>
              </w:rPr>
              <w:t xml:space="preserve">2.00%</w:t>
            </w:r>
          </w:p>
        </w:tc>
        <w:tc>
          <w:tcPr>
            <w:tcW w:type="dxa" w:w="1600"/>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color w:val="000000"/>
                <w:sz w:val="20"/>
                <w:szCs w:val="20"/>
              </w:rPr>
              <w:t xml:space="preserve">3,857</w:t>
            </w:r>
          </w:p>
        </w:tc>
        <w:tc>
          <w:tcPr>
            <w:tcW w:type="dxa" w:w="1600"/>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color w:val="000000"/>
                <w:sz w:val="20"/>
                <w:szCs w:val="20"/>
              </w:rPr>
              <w:t xml:space="preserve">5</w:t>
            </w:r>
          </w:p>
        </w:tc>
      </w:tr>
      <w:tr>
        <w:tc>
          <w:tcPr>
            <w:tcW w:type="dxa" w:w="3960"/>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color w:val="000000"/>
                <w:sz w:val="20"/>
                <w:szCs w:val="20"/>
              </w:rPr>
              <w:t xml:space="preserve">CHI Memorial Health Care System</w:t>
            </w:r>
          </w:p>
        </w:tc>
        <w:tc>
          <w:tcPr>
            <w:tcW w:type="dxa" w:w="2200"/>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color w:val="000000"/>
                <w:sz w:val="20"/>
                <w:szCs w:val="20"/>
              </w:rPr>
              <w:t xml:space="preserve">1.93%</w:t>
            </w:r>
          </w:p>
        </w:tc>
        <w:tc>
          <w:tcPr>
            <w:tcW w:type="dxa" w:w="1600"/>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color w:val="000000"/>
                <w:sz w:val="20"/>
                <w:szCs w:val="20"/>
              </w:rPr>
              <w:t xml:space="preserve">3,722</w:t>
            </w:r>
          </w:p>
        </w:tc>
        <w:tc>
          <w:tcPr>
            <w:tcW w:type="dxa" w:w="1600"/>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color w:val="000000"/>
                <w:sz w:val="20"/>
                <w:szCs w:val="20"/>
              </w:rPr>
              <w:t xml:space="preserve">6</w:t>
            </w:r>
          </w:p>
        </w:tc>
      </w:tr>
      <w:tr>
        <w:tc>
          <w:tcPr>
            <w:tcW w:type="dxa" w:w="3960"/>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color w:val="000000"/>
                <w:sz w:val="20"/>
                <w:szCs w:val="20"/>
              </w:rPr>
              <w:t xml:space="preserve">McKee Foods Corporation</w:t>
            </w:r>
          </w:p>
        </w:tc>
        <w:tc>
          <w:tcPr>
            <w:tcW w:type="dxa" w:w="2200"/>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color w:val="000000"/>
                <w:sz w:val="20"/>
                <w:szCs w:val="20"/>
              </w:rPr>
              <w:t xml:space="preserve">1.64%</w:t>
            </w:r>
          </w:p>
        </w:tc>
        <w:tc>
          <w:tcPr>
            <w:tcW w:type="dxa" w:w="1600"/>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color w:val="000000"/>
                <w:sz w:val="20"/>
                <w:szCs w:val="20"/>
              </w:rPr>
              <w:t xml:space="preserve">3,171</w:t>
            </w:r>
          </w:p>
        </w:tc>
        <w:tc>
          <w:tcPr>
            <w:tcW w:type="dxa" w:w="1600"/>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color w:val="000000"/>
                <w:sz w:val="20"/>
                <w:szCs w:val="20"/>
              </w:rPr>
              <w:t xml:space="preserve">7</w:t>
            </w:r>
          </w:p>
        </w:tc>
      </w:tr>
      <w:tr>
        <w:tc>
          <w:tcPr>
            <w:tcW w:type="dxa" w:w="3960"/>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color w:val="000000"/>
                <w:sz w:val="20"/>
                <w:szCs w:val="20"/>
              </w:rPr>
              <w:t xml:space="preserve">Unum Group</w:t>
            </w:r>
          </w:p>
        </w:tc>
        <w:tc>
          <w:tcPr>
            <w:tcW w:type="dxa" w:w="2200"/>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color w:val="000000"/>
                <w:sz w:val="20"/>
                <w:szCs w:val="20"/>
              </w:rPr>
              <w:t xml:space="preserve">1.60%</w:t>
            </w:r>
          </w:p>
        </w:tc>
        <w:tc>
          <w:tcPr>
            <w:tcW w:type="dxa" w:w="1600"/>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color w:val="000000"/>
                <w:sz w:val="20"/>
                <w:szCs w:val="20"/>
              </w:rPr>
              <w:t xml:space="preserve">3,082</w:t>
            </w:r>
          </w:p>
        </w:tc>
        <w:tc>
          <w:tcPr>
            <w:tcW w:type="dxa" w:w="1600"/>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color w:val="000000"/>
                <w:sz w:val="20"/>
                <w:szCs w:val="20"/>
              </w:rPr>
              <w:t xml:space="preserve">8</w:t>
            </w:r>
          </w:p>
        </w:tc>
      </w:tr>
      <w:tr>
        <w:tc>
          <w:tcPr>
            <w:tcW w:type="dxa" w:w="3960"/>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color w:val="000000"/>
                <w:sz w:val="20"/>
                <w:szCs w:val="20"/>
              </w:rPr>
              <w:t xml:space="preserve">Roper</w:t>
            </w:r>
          </w:p>
        </w:tc>
        <w:tc>
          <w:tcPr>
            <w:tcW w:type="dxa" w:w="2200"/>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color w:val="000000"/>
                <w:sz w:val="20"/>
                <w:szCs w:val="20"/>
              </w:rPr>
              <w:t xml:space="preserve">1.32%</w:t>
            </w:r>
          </w:p>
        </w:tc>
        <w:tc>
          <w:tcPr>
            <w:tcW w:type="dxa" w:w="1600"/>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color w:val="000000"/>
                <w:sz w:val="20"/>
                <w:szCs w:val="20"/>
              </w:rPr>
              <w:t xml:space="preserve">2,541</w:t>
            </w:r>
          </w:p>
        </w:tc>
        <w:tc>
          <w:tcPr>
            <w:tcW w:type="dxa" w:w="1600"/>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color w:val="000000"/>
                <w:sz w:val="20"/>
                <w:szCs w:val="20"/>
              </w:rPr>
              <w:t xml:space="preserve">9</w:t>
            </w:r>
          </w:p>
        </w:tc>
      </w:tr>
      <w:tr>
        <w:tc>
          <w:tcPr>
            <w:tcW w:type="dxa" w:w="3960"/>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color w:val="000000"/>
                <w:sz w:val="20"/>
                <w:szCs w:val="20"/>
              </w:rPr>
              <w:t xml:space="preserve">City of Chattanooga</w:t>
            </w:r>
          </w:p>
        </w:tc>
        <w:tc>
          <w:tcPr>
            <w:tcW w:type="dxa" w:w="2200"/>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color w:val="000000"/>
                <w:sz w:val="20"/>
                <w:szCs w:val="20"/>
              </w:rPr>
              <w:t xml:space="preserve">1.23%</w:t>
            </w:r>
          </w:p>
        </w:tc>
        <w:tc>
          <w:tcPr>
            <w:tcW w:type="dxa" w:w="1600"/>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color w:val="000000"/>
                <w:sz w:val="20"/>
                <w:szCs w:val="20"/>
              </w:rPr>
              <w:t xml:space="preserve">2,372</w:t>
            </w:r>
          </w:p>
        </w:tc>
        <w:tc>
          <w:tcPr>
            <w:tcW w:type="dxa" w:w="1600"/>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color w:val="000000"/>
                <w:sz w:val="20"/>
                <w:szCs w:val="20"/>
              </w:rPr>
              <w:t xml:space="preserve">10</w:t>
            </w:r>
          </w:p>
        </w:tc>
      </w:tr>
    </w:tbl>
    <w:p>
      <w:pPr>
        <w:spacing w:before="40"/>
      </w:pPr>
      <w:r>
        <w:rPr>
          <w:rFonts w:ascii="Times New Roman" w:cs="Times New Roman" w:eastAsia="Times New Roman" w:hAnsi="Times New Roman"/>
          <w:i w:val="false"/>
          <w:iCs w:val="false"/>
          <w:color w:val="000000"/>
          <w:sz w:val="20"/>
          <w:szCs w:val="20"/>
        </w:rPr>
        <w:t xml:space="preserve">Source: Hamilton County, TN Annual Comprehensive Financial Report, Statistical Section — Principal Employers, fiscal year 2025</w:t>
      </w:r>
      <w:r>
        <w:rPr>
          <w:rFonts w:ascii="Times New Roman" w:cs="Times New Roman" w:eastAsia="Times New Roman" w:hAnsi="Times New Roman"/>
          <w:sz w:val="20"/>
          <w:szCs w:val="20"/>
        </w:rPr>
        <w:t xml:space="preserve">  </w:t>
      </w:r>
      <w:hyperlink w:history="1" r:id="rId53vturihwezf_mgmn7mpg">
        <w:r>
          <w:rPr>
            <w:rFonts w:ascii="Times New Roman" w:cs="Times New Roman" w:eastAsia="Times New Roman" w:hAnsi="Times New Roman"/>
            <w:color w:val="1155CC"/>
            <w:sz w:val="20"/>
            <w:szCs w:val="20"/>
            <w:u w:val="single"/>
          </w:rPr>
          <w:t xml:space="preserve">(view source)</w:t>
        </w:r>
      </w:hyperlink>
    </w:p>
    <w:p>
      <w:pPr>
        <w:spacing w:before="160"/>
      </w:pPr>
    </w:p>
    <w:tbl>
      <w:tblPr>
        <w:tblW w:type="dxa" w:w="9360"/>
        <w:jc w:val="center"/>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560"/>
        <w:gridCol w:w="1500"/>
        <w:gridCol w:w="1300"/>
        <w:gridCol w:w="1600"/>
        <w:gridCol w:w="1400"/>
      </w:tblGrid>
      <w:tr>
        <w:tc>
          <w:tcPr>
            <w:tcW w:type="dxa" w:w="9360"/>
            <w:gridSpan w:val="5"/>
            <w:tcBorders>
              <w:top w:val="single" w:color="1A305B" w:sz="1"/>
              <w:left w:val="single" w:color="1A305B" w:sz="1"/>
              <w:bottom w:val="single" w:color="1A305B" w:sz="1"/>
              <w:right w:val="single" w:color="1A305B" w:sz="1"/>
            </w:tcBorders>
            <w:shd w:fill="1A305B" w:color="auto" w:val="clear"/>
            <w:tcMar>
              <w:top w:type="dxa" w:w="61"/>
              <w:left w:type="dxa" w:w="100"/>
              <w:bottom w:type="dxa" w:w="61"/>
              <w:right w:type="dxa" w:w="100"/>
            </w:tcMar>
          </w:tcPr>
          <w:p>
            <w:pPr>
              <w:jc w:val="center"/>
            </w:pPr>
            <w:r>
              <w:rPr>
                <w:rFonts w:ascii="Times New Roman" w:cs="Times New Roman" w:eastAsia="Times New Roman" w:hAnsi="Times New Roman"/>
                <w:b/>
                <w:bCs/>
                <w:color w:val="FFFFFF"/>
                <w:sz w:val="20"/>
                <w:szCs w:val="20"/>
              </w:rPr>
              <w:t xml:space="preserve">At-Place Employment by Industry — Hamilton County, TN — 2025</w:t>
            </w:r>
          </w:p>
        </w:tc>
      </w:tr>
      <w:tr>
        <w:tc>
          <w:tcPr>
            <w:tcW w:type="dxa" w:w="3560"/>
            <w:tcBorders>
              <w:top w:val="single" w:color="1A305B" w:sz="1"/>
              <w:left w:val="single" w:color="1A305B" w:sz="1"/>
              <w:bottom w:val="single" w:color="1A305B" w:sz="1"/>
              <w:right w:val="single" w:color="1A305B" w:sz="1"/>
            </w:tcBorders>
            <w:shd w:fill="FFFFFF" w:color="auto" w:val="clear"/>
            <w:tcMar>
              <w:top w:type="dxa" w:w="61"/>
              <w:left w:type="dxa" w:w="100"/>
              <w:bottom w:type="dxa" w:w="61"/>
              <w:right w:type="dxa" w:w="100"/>
            </w:tcMar>
          </w:tcPr>
          <w:p>
            <w:pPr>
              <w:jc w:val="center"/>
            </w:pPr>
            <w:r>
              <w:rPr>
                <w:rFonts w:ascii="Times New Roman" w:cs="Times New Roman" w:eastAsia="Times New Roman" w:hAnsi="Times New Roman"/>
                <w:b/>
                <w:bCs/>
                <w:color w:val="000000"/>
                <w:sz w:val="20"/>
                <w:szCs w:val="20"/>
              </w:rPr>
              <w:t xml:space="preserve">Industry</w:t>
            </w:r>
          </w:p>
        </w:tc>
        <w:tc>
          <w:tcPr>
            <w:tcW w:type="dxa" w:w="1500"/>
            <w:tcBorders>
              <w:top w:val="single" w:color="1A305B" w:sz="1"/>
              <w:left w:val="single" w:color="1A305B" w:sz="1"/>
              <w:bottom w:val="single" w:color="1A305B" w:sz="1"/>
              <w:right w:val="single" w:color="1A305B" w:sz="1"/>
            </w:tcBorders>
            <w:shd w:fill="FFFFFF" w:color="auto" w:val="clear"/>
            <w:tcMar>
              <w:top w:type="dxa" w:w="61"/>
              <w:left w:type="dxa" w:w="100"/>
              <w:bottom w:type="dxa" w:w="61"/>
              <w:right w:type="dxa" w:w="100"/>
            </w:tcMar>
          </w:tcPr>
          <w:p>
            <w:pPr>
              <w:jc w:val="center"/>
            </w:pPr>
            <w:r>
              <w:rPr>
                <w:rFonts w:ascii="Times New Roman" w:cs="Times New Roman" w:eastAsia="Times New Roman" w:hAnsi="Times New Roman"/>
                <w:b/>
                <w:bCs/>
                <w:color w:val="000000"/>
                <w:sz w:val="20"/>
                <w:szCs w:val="20"/>
              </w:rPr>
              <w:t xml:space="preserve">Employment</w:t>
            </w:r>
          </w:p>
        </w:tc>
        <w:tc>
          <w:tcPr>
            <w:tcW w:type="dxa" w:w="1300"/>
            <w:tcBorders>
              <w:top w:val="single" w:color="1A305B" w:sz="1"/>
              <w:left w:val="single" w:color="1A305B" w:sz="1"/>
              <w:bottom w:val="single" w:color="1A305B" w:sz="1"/>
              <w:right w:val="single" w:color="1A305B" w:sz="1"/>
            </w:tcBorders>
            <w:shd w:fill="FFFFFF" w:color="auto" w:val="clear"/>
            <w:tcMar>
              <w:top w:type="dxa" w:w="61"/>
              <w:left w:type="dxa" w:w="100"/>
              <w:bottom w:type="dxa" w:w="61"/>
              <w:right w:type="dxa" w:w="100"/>
            </w:tcMar>
          </w:tcPr>
          <w:p>
            <w:pPr>
              <w:jc w:val="center"/>
            </w:pPr>
            <w:r>
              <w:rPr>
                <w:rFonts w:ascii="Times New Roman" w:cs="Times New Roman" w:eastAsia="Times New Roman" w:hAnsi="Times New Roman"/>
                <w:b/>
                <w:bCs/>
                <w:color w:val="000000"/>
                <w:sz w:val="20"/>
                <w:szCs w:val="20"/>
              </w:rPr>
              <w:t xml:space="preserve">% of Total</w:t>
            </w:r>
          </w:p>
        </w:tc>
        <w:tc>
          <w:tcPr>
            <w:tcW w:type="dxa" w:w="1600"/>
            <w:tcBorders>
              <w:top w:val="single" w:color="1A305B" w:sz="1"/>
              <w:left w:val="single" w:color="1A305B" w:sz="1"/>
              <w:bottom w:val="single" w:color="1A305B" w:sz="1"/>
              <w:right w:val="single" w:color="1A305B" w:sz="1"/>
            </w:tcBorders>
            <w:shd w:fill="FFFFFF" w:color="auto" w:val="clear"/>
            <w:tcMar>
              <w:top w:type="dxa" w:w="61"/>
              <w:left w:type="dxa" w:w="100"/>
              <w:bottom w:type="dxa" w:w="61"/>
              <w:right w:type="dxa" w:w="100"/>
            </w:tcMar>
          </w:tcPr>
          <w:p>
            <w:pPr>
              <w:jc w:val="center"/>
            </w:pPr>
            <w:r>
              <w:rPr>
                <w:rFonts w:ascii="Times New Roman" w:cs="Times New Roman" w:eastAsia="Times New Roman" w:hAnsi="Times New Roman"/>
                <w:b/>
                <w:bCs/>
                <w:color w:val="000000"/>
                <w:sz w:val="20"/>
                <w:szCs w:val="20"/>
              </w:rPr>
              <w:t xml:space="preserve">Avg. Annual Pay</w:t>
            </w:r>
          </w:p>
        </w:tc>
        <w:tc>
          <w:tcPr>
            <w:tcW w:type="dxa" w:w="1400"/>
            <w:tcBorders>
              <w:top w:val="single" w:color="1A305B" w:sz="1"/>
              <w:left w:val="single" w:color="1A305B" w:sz="1"/>
              <w:bottom w:val="single" w:color="1A305B" w:sz="1"/>
              <w:right w:val="single" w:color="1A305B" w:sz="1"/>
            </w:tcBorders>
            <w:shd w:fill="FFFFFF" w:color="auto" w:val="clear"/>
            <w:tcMar>
              <w:top w:type="dxa" w:w="61"/>
              <w:left w:type="dxa" w:w="100"/>
              <w:bottom w:type="dxa" w:w="61"/>
              <w:right w:type="dxa" w:w="100"/>
            </w:tcMar>
          </w:tcPr>
          <w:p>
            <w:pPr>
              <w:jc w:val="center"/>
            </w:pPr>
            <w:r>
              <w:rPr>
                <w:rFonts w:ascii="Times New Roman" w:cs="Times New Roman" w:eastAsia="Times New Roman" w:hAnsi="Times New Roman"/>
                <w:b/>
                <w:bCs/>
                <w:color w:val="000000"/>
                <w:sz w:val="20"/>
                <w:szCs w:val="20"/>
              </w:rPr>
              <w:t xml:space="preserve">Change 2020–2025</w:t>
            </w:r>
          </w:p>
        </w:tc>
      </w:tr>
      <w:tr>
        <w:tc>
          <w:tcPr>
            <w:tcW w:type="dxa" w:w="3560"/>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color w:val="000000"/>
                <w:sz w:val="20"/>
                <w:szCs w:val="20"/>
              </w:rPr>
              <w:t xml:space="preserve">Education and Health Services</w:t>
            </w:r>
          </w:p>
        </w:tc>
        <w:tc>
          <w:tcPr>
            <w:tcW w:type="dxa" w:w="1500"/>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color w:val="000000"/>
                <w:sz w:val="20"/>
                <w:szCs w:val="20"/>
              </w:rPr>
              <w:t xml:space="preserve">48,302</w:t>
            </w:r>
          </w:p>
        </w:tc>
        <w:tc>
          <w:tcPr>
            <w:tcW w:type="dxa" w:w="1300"/>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color w:val="000000"/>
                <w:sz w:val="20"/>
                <w:szCs w:val="20"/>
              </w:rPr>
              <w:t xml:space="preserve">22.0%</w:t>
            </w:r>
          </w:p>
        </w:tc>
        <w:tc>
          <w:tcPr>
            <w:tcW w:type="dxa" w:w="1600"/>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color w:val="000000"/>
                <w:sz w:val="20"/>
                <w:szCs w:val="20"/>
              </w:rPr>
              <w:t xml:space="preserve">$68,010</w:t>
            </w:r>
          </w:p>
        </w:tc>
        <w:tc>
          <w:tcPr>
            <w:tcW w:type="dxa" w:w="1400"/>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color w:val="000000"/>
                <w:sz w:val="20"/>
                <w:szCs w:val="20"/>
              </w:rPr>
              <w:t xml:space="preserve">+57.1%</w:t>
            </w:r>
          </w:p>
        </w:tc>
      </w:tr>
      <w:tr>
        <w:tc>
          <w:tcPr>
            <w:tcW w:type="dxa" w:w="3560"/>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color w:val="000000"/>
                <w:sz w:val="20"/>
                <w:szCs w:val="20"/>
              </w:rPr>
              <w:t xml:space="preserve">Trade, Transportation, and Utilities</w:t>
            </w:r>
          </w:p>
        </w:tc>
        <w:tc>
          <w:tcPr>
            <w:tcW w:type="dxa" w:w="1500"/>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color w:val="000000"/>
                <w:sz w:val="20"/>
                <w:szCs w:val="20"/>
              </w:rPr>
              <w:t xml:space="preserve">45,771</w:t>
            </w:r>
          </w:p>
        </w:tc>
        <w:tc>
          <w:tcPr>
            <w:tcW w:type="dxa" w:w="1300"/>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color w:val="000000"/>
                <w:sz w:val="20"/>
                <w:szCs w:val="20"/>
              </w:rPr>
              <w:t xml:space="preserve">20.8%</w:t>
            </w:r>
          </w:p>
        </w:tc>
        <w:tc>
          <w:tcPr>
            <w:tcW w:type="dxa" w:w="1600"/>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color w:val="000000"/>
                <w:sz w:val="20"/>
                <w:szCs w:val="20"/>
              </w:rPr>
              <w:t xml:space="preserve">$62,419</w:t>
            </w:r>
          </w:p>
        </w:tc>
        <w:tc>
          <w:tcPr>
            <w:tcW w:type="dxa" w:w="1400"/>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color w:val="000000"/>
                <w:sz w:val="20"/>
                <w:szCs w:val="20"/>
              </w:rPr>
              <w:t xml:space="preserve">-2.5%</w:t>
            </w:r>
          </w:p>
        </w:tc>
      </w:tr>
      <w:tr>
        <w:tc>
          <w:tcPr>
            <w:tcW w:type="dxa" w:w="3560"/>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color w:val="000000"/>
                <w:sz w:val="20"/>
                <w:szCs w:val="20"/>
              </w:rPr>
              <w:t xml:space="preserve">Manufacturing</w:t>
            </w:r>
          </w:p>
        </w:tc>
        <w:tc>
          <w:tcPr>
            <w:tcW w:type="dxa" w:w="1500"/>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color w:val="000000"/>
                <w:sz w:val="20"/>
                <w:szCs w:val="20"/>
              </w:rPr>
              <w:t xml:space="preserve">28,170</w:t>
            </w:r>
          </w:p>
        </w:tc>
        <w:tc>
          <w:tcPr>
            <w:tcW w:type="dxa" w:w="1300"/>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color w:val="000000"/>
                <w:sz w:val="20"/>
                <w:szCs w:val="20"/>
              </w:rPr>
              <w:t xml:space="preserve">12.8%</w:t>
            </w:r>
          </w:p>
        </w:tc>
        <w:tc>
          <w:tcPr>
            <w:tcW w:type="dxa" w:w="1600"/>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color w:val="000000"/>
                <w:sz w:val="20"/>
                <w:szCs w:val="20"/>
              </w:rPr>
              <w:t xml:space="preserve">$79,019</w:t>
            </w:r>
          </w:p>
        </w:tc>
        <w:tc>
          <w:tcPr>
            <w:tcW w:type="dxa" w:w="1400"/>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color w:val="000000"/>
                <w:sz w:val="20"/>
                <w:szCs w:val="20"/>
              </w:rPr>
              <w:t xml:space="preserve">+18.7%</w:t>
            </w:r>
          </w:p>
        </w:tc>
      </w:tr>
      <w:tr>
        <w:tc>
          <w:tcPr>
            <w:tcW w:type="dxa" w:w="3560"/>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color w:val="000000"/>
                <w:sz w:val="20"/>
                <w:szCs w:val="20"/>
              </w:rPr>
              <w:t xml:space="preserve">Professional and Business Services</w:t>
            </w:r>
          </w:p>
        </w:tc>
        <w:tc>
          <w:tcPr>
            <w:tcW w:type="dxa" w:w="1500"/>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color w:val="000000"/>
                <w:sz w:val="20"/>
                <w:szCs w:val="20"/>
              </w:rPr>
              <w:t xml:space="preserve">25,555</w:t>
            </w:r>
          </w:p>
        </w:tc>
        <w:tc>
          <w:tcPr>
            <w:tcW w:type="dxa" w:w="1300"/>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color w:val="000000"/>
                <w:sz w:val="20"/>
                <w:szCs w:val="20"/>
              </w:rPr>
              <w:t xml:space="preserve">11.6%</w:t>
            </w:r>
          </w:p>
        </w:tc>
        <w:tc>
          <w:tcPr>
            <w:tcW w:type="dxa" w:w="1600"/>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color w:val="000000"/>
                <w:sz w:val="20"/>
                <w:szCs w:val="20"/>
              </w:rPr>
              <w:t xml:space="preserve">$73,574</w:t>
            </w:r>
          </w:p>
        </w:tc>
        <w:tc>
          <w:tcPr>
            <w:tcW w:type="dxa" w:w="1400"/>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color w:val="000000"/>
                <w:sz w:val="20"/>
                <w:szCs w:val="20"/>
              </w:rPr>
              <w:t xml:space="preserve">+3.3%</w:t>
            </w:r>
          </w:p>
        </w:tc>
      </w:tr>
      <w:tr>
        <w:tc>
          <w:tcPr>
            <w:tcW w:type="dxa" w:w="3560"/>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color w:val="000000"/>
                <w:sz w:val="20"/>
                <w:szCs w:val="20"/>
              </w:rPr>
              <w:t xml:space="preserve">Leisure and Hospitality</w:t>
            </w:r>
          </w:p>
        </w:tc>
        <w:tc>
          <w:tcPr>
            <w:tcW w:type="dxa" w:w="1500"/>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color w:val="000000"/>
                <w:sz w:val="20"/>
                <w:szCs w:val="20"/>
              </w:rPr>
              <w:t xml:space="preserve">24,947</w:t>
            </w:r>
          </w:p>
        </w:tc>
        <w:tc>
          <w:tcPr>
            <w:tcW w:type="dxa" w:w="1300"/>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color w:val="000000"/>
                <w:sz w:val="20"/>
                <w:szCs w:val="20"/>
              </w:rPr>
              <w:t xml:space="preserve">11.4%</w:t>
            </w:r>
          </w:p>
        </w:tc>
        <w:tc>
          <w:tcPr>
            <w:tcW w:type="dxa" w:w="1600"/>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color w:val="000000"/>
                <w:sz w:val="20"/>
                <w:szCs w:val="20"/>
              </w:rPr>
              <w:t xml:space="preserve">$27,471</w:t>
            </w:r>
          </w:p>
        </w:tc>
        <w:tc>
          <w:tcPr>
            <w:tcW w:type="dxa" w:w="1400"/>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color w:val="000000"/>
                <w:sz w:val="20"/>
                <w:szCs w:val="20"/>
              </w:rPr>
              <w:t xml:space="preserve">+25.1%</w:t>
            </w:r>
          </w:p>
        </w:tc>
      </w:tr>
      <w:tr>
        <w:tc>
          <w:tcPr>
            <w:tcW w:type="dxa" w:w="3560"/>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color w:val="000000"/>
                <w:sz w:val="20"/>
                <w:szCs w:val="20"/>
              </w:rPr>
              <w:t xml:space="preserve">Financial Activities</w:t>
            </w:r>
          </w:p>
        </w:tc>
        <w:tc>
          <w:tcPr>
            <w:tcW w:type="dxa" w:w="1500"/>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color w:val="000000"/>
                <w:sz w:val="20"/>
                <w:szCs w:val="20"/>
              </w:rPr>
              <w:t xml:space="preserve">15,607</w:t>
            </w:r>
          </w:p>
        </w:tc>
        <w:tc>
          <w:tcPr>
            <w:tcW w:type="dxa" w:w="1300"/>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color w:val="000000"/>
                <w:sz w:val="20"/>
                <w:szCs w:val="20"/>
              </w:rPr>
              <w:t xml:space="preserve">7.1%</w:t>
            </w:r>
          </w:p>
        </w:tc>
        <w:tc>
          <w:tcPr>
            <w:tcW w:type="dxa" w:w="1600"/>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color w:val="000000"/>
                <w:sz w:val="20"/>
                <w:szCs w:val="20"/>
              </w:rPr>
              <w:t xml:space="preserve">$99,792</w:t>
            </w:r>
          </w:p>
        </w:tc>
        <w:tc>
          <w:tcPr>
            <w:tcW w:type="dxa" w:w="1400"/>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color w:val="000000"/>
                <w:sz w:val="20"/>
                <w:szCs w:val="20"/>
              </w:rPr>
              <w:t xml:space="preserve">-1.2%</w:t>
            </w:r>
          </w:p>
        </w:tc>
      </w:tr>
      <w:tr>
        <w:tc>
          <w:tcPr>
            <w:tcW w:type="dxa" w:w="3560"/>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color w:val="000000"/>
                <w:sz w:val="20"/>
                <w:szCs w:val="20"/>
              </w:rPr>
              <w:t xml:space="preserve">Public Administration</w:t>
            </w:r>
          </w:p>
        </w:tc>
        <w:tc>
          <w:tcPr>
            <w:tcW w:type="dxa" w:w="1500"/>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color w:val="000000"/>
                <w:sz w:val="20"/>
                <w:szCs w:val="20"/>
              </w:rPr>
              <w:t xml:space="preserve">9,382</w:t>
            </w:r>
          </w:p>
        </w:tc>
        <w:tc>
          <w:tcPr>
            <w:tcW w:type="dxa" w:w="1300"/>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color w:val="000000"/>
                <w:sz w:val="20"/>
                <w:szCs w:val="20"/>
              </w:rPr>
              <w:t xml:space="preserve">4.3%</w:t>
            </w:r>
          </w:p>
        </w:tc>
        <w:tc>
          <w:tcPr>
            <w:tcW w:type="dxa" w:w="1600"/>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color w:val="000000"/>
                <w:sz w:val="20"/>
                <w:szCs w:val="20"/>
              </w:rPr>
              <w:t xml:space="preserve">$104,036</w:t>
            </w:r>
          </w:p>
        </w:tc>
        <w:tc>
          <w:tcPr>
            <w:tcW w:type="dxa" w:w="1400"/>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color w:val="000000"/>
                <w:sz w:val="20"/>
                <w:szCs w:val="20"/>
              </w:rPr>
              <w:t xml:space="preserve">+29.2%</w:t>
            </w:r>
          </w:p>
        </w:tc>
      </w:tr>
      <w:tr>
        <w:tc>
          <w:tcPr>
            <w:tcW w:type="dxa" w:w="3560"/>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color w:val="000000"/>
                <w:sz w:val="20"/>
                <w:szCs w:val="20"/>
              </w:rPr>
              <w:t xml:space="preserve">Other Services</w:t>
            </w:r>
          </w:p>
        </w:tc>
        <w:tc>
          <w:tcPr>
            <w:tcW w:type="dxa" w:w="1500"/>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color w:val="000000"/>
                <w:sz w:val="20"/>
                <w:szCs w:val="20"/>
              </w:rPr>
              <w:t xml:space="preserve">6,794</w:t>
            </w:r>
          </w:p>
        </w:tc>
        <w:tc>
          <w:tcPr>
            <w:tcW w:type="dxa" w:w="1300"/>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color w:val="000000"/>
                <w:sz w:val="20"/>
                <w:szCs w:val="20"/>
              </w:rPr>
              <w:t xml:space="preserve">3.1%</w:t>
            </w:r>
          </w:p>
        </w:tc>
        <w:tc>
          <w:tcPr>
            <w:tcW w:type="dxa" w:w="1600"/>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color w:val="000000"/>
                <w:sz w:val="20"/>
                <w:szCs w:val="20"/>
              </w:rPr>
              <w:t xml:space="preserve">$53,378</w:t>
            </w:r>
          </w:p>
        </w:tc>
        <w:tc>
          <w:tcPr>
            <w:tcW w:type="dxa" w:w="1400"/>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color w:val="000000"/>
                <w:sz w:val="20"/>
                <w:szCs w:val="20"/>
              </w:rPr>
              <w:t xml:space="preserve">+15.0%</w:t>
            </w:r>
          </w:p>
        </w:tc>
      </w:tr>
      <w:tr>
        <w:tc>
          <w:tcPr>
            <w:tcW w:type="dxa" w:w="3560"/>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color w:val="000000"/>
                <w:sz w:val="20"/>
                <w:szCs w:val="20"/>
              </w:rPr>
              <w:t xml:space="preserve">Construction *</w:t>
            </w:r>
          </w:p>
        </w:tc>
        <w:tc>
          <w:tcPr>
            <w:tcW w:type="dxa" w:w="1500"/>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color w:val="000000"/>
                <w:sz w:val="20"/>
                <w:szCs w:val="20"/>
              </w:rPr>
              <w:t xml:space="preserve">225</w:t>
            </w:r>
          </w:p>
        </w:tc>
        <w:tc>
          <w:tcPr>
            <w:tcW w:type="dxa" w:w="1300"/>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color w:val="000000"/>
                <w:sz w:val="20"/>
                <w:szCs w:val="20"/>
              </w:rPr>
              <w:t xml:space="preserve">0.1%</w:t>
            </w:r>
          </w:p>
        </w:tc>
        <w:tc>
          <w:tcPr>
            <w:tcW w:type="dxa" w:w="1600"/>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color w:val="000000"/>
                <w:sz w:val="20"/>
                <w:szCs w:val="20"/>
              </w:rPr>
              <w:t xml:space="preserve">$54,105</w:t>
            </w:r>
          </w:p>
        </w:tc>
        <w:tc>
          <w:tcPr>
            <w:tcW w:type="dxa" w:w="1400"/>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color w:val="000000"/>
                <w:sz w:val="20"/>
                <w:szCs w:val="20"/>
              </w:rPr>
              <w:t xml:space="preserve">-97.6%</w:t>
            </w:r>
          </w:p>
        </w:tc>
      </w:tr>
      <w:tr>
        <w:tc>
          <w:tcPr>
            <w:tcW w:type="dxa" w:w="3560"/>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color w:val="000000"/>
                <w:sz w:val="20"/>
                <w:szCs w:val="20"/>
              </w:rPr>
              <w:t xml:space="preserve">Information *</w:t>
            </w:r>
          </w:p>
        </w:tc>
        <w:tc>
          <w:tcPr>
            <w:tcW w:type="dxa" w:w="1500"/>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color w:val="000000"/>
                <w:sz w:val="20"/>
                <w:szCs w:val="20"/>
              </w:rPr>
              <w:t xml:space="preserve">76</w:t>
            </w:r>
          </w:p>
        </w:tc>
        <w:tc>
          <w:tcPr>
            <w:tcW w:type="dxa" w:w="1300"/>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color w:val="000000"/>
                <w:sz w:val="20"/>
                <w:szCs w:val="20"/>
              </w:rPr>
              <w:t xml:space="preserve">0.0%</w:t>
            </w:r>
          </w:p>
        </w:tc>
        <w:tc>
          <w:tcPr>
            <w:tcW w:type="dxa" w:w="1600"/>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color w:val="000000"/>
                <w:sz w:val="20"/>
                <w:szCs w:val="20"/>
              </w:rPr>
              <w:t xml:space="preserve">$50,169</w:t>
            </w:r>
          </w:p>
        </w:tc>
        <w:tc>
          <w:tcPr>
            <w:tcW w:type="dxa" w:w="1400"/>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color w:val="000000"/>
                <w:sz w:val="20"/>
                <w:szCs w:val="20"/>
              </w:rPr>
              <w:t xml:space="preserve">-96.4%</w:t>
            </w:r>
          </w:p>
        </w:tc>
      </w:tr>
      <w:tr>
        <w:tc>
          <w:tcPr>
            <w:tcW w:type="dxa" w:w="3560"/>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color w:val="000000"/>
                <w:sz w:val="20"/>
                <w:szCs w:val="20"/>
              </w:rPr>
              <w:t xml:space="preserve">Natural Resources and Mining *</w:t>
            </w:r>
          </w:p>
        </w:tc>
        <w:tc>
          <w:tcPr>
            <w:tcW w:type="dxa" w:w="1500"/>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color w:val="000000"/>
                <w:sz w:val="20"/>
                <w:szCs w:val="20"/>
              </w:rPr>
              <w:t xml:space="preserve">0</w:t>
            </w:r>
          </w:p>
        </w:tc>
        <w:tc>
          <w:tcPr>
            <w:tcW w:type="dxa" w:w="1300"/>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color w:val="000000"/>
                <w:sz w:val="20"/>
                <w:szCs w:val="20"/>
              </w:rPr>
              <w:t xml:space="preserve">0.0%</w:t>
            </w:r>
          </w:p>
        </w:tc>
        <w:tc>
          <w:tcPr>
            <w:tcW w:type="dxa" w:w="1600"/>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color w:val="000000"/>
                <w:sz w:val="20"/>
                <w:szCs w:val="20"/>
              </w:rPr>
              <w:t xml:space="preserve">—</w:t>
            </w:r>
          </w:p>
        </w:tc>
        <w:tc>
          <w:tcPr>
            <w:tcW w:type="dxa" w:w="1400"/>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color w:val="000000"/>
                <w:sz w:val="20"/>
                <w:szCs w:val="20"/>
              </w:rPr>
              <w:t xml:space="preserve">—</w:t>
            </w:r>
          </w:p>
        </w:tc>
      </w:tr>
      <w:tr>
        <w:tc>
          <w:tcPr>
            <w:tcW w:type="dxa" w:w="3560"/>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color w:val="000000"/>
                <w:sz w:val="20"/>
                <w:szCs w:val="20"/>
              </w:rPr>
              <w:t xml:space="preserve">Total, all industries</w:t>
            </w:r>
          </w:p>
        </w:tc>
        <w:tc>
          <w:tcPr>
            <w:tcW w:type="dxa" w:w="1500"/>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color w:val="000000"/>
                <w:sz w:val="20"/>
                <w:szCs w:val="20"/>
              </w:rPr>
              <w:t xml:space="preserve">219,580</w:t>
            </w:r>
          </w:p>
        </w:tc>
        <w:tc>
          <w:tcPr>
            <w:tcW w:type="dxa" w:w="1300"/>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color w:val="000000"/>
                <w:sz w:val="20"/>
                <w:szCs w:val="20"/>
              </w:rPr>
              <w:t xml:space="preserve">100.0%</w:t>
            </w:r>
          </w:p>
        </w:tc>
        <w:tc>
          <w:tcPr>
            <w:tcW w:type="dxa" w:w="1600"/>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color w:val="000000"/>
                <w:sz w:val="20"/>
                <w:szCs w:val="20"/>
              </w:rPr>
              <w:t xml:space="preserve">$69,253</w:t>
            </w:r>
          </w:p>
        </w:tc>
        <w:tc>
          <w:tcPr>
            <w:tcW w:type="dxa" w:w="1400"/>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color w:val="000000"/>
                <w:sz w:val="20"/>
                <w:szCs w:val="20"/>
              </w:rPr>
              <w:t xml:space="preserve">+10.3%</w:t>
            </w:r>
          </w:p>
        </w:tc>
      </w:tr>
    </w:tbl>
    <w:p>
      <w:pPr>
        <w:spacing w:before="40"/>
      </w:pPr>
      <w:r>
        <w:rPr>
          <w:rFonts w:ascii="Times New Roman" w:cs="Times New Roman" w:eastAsia="Times New Roman" w:hAnsi="Times New Roman"/>
          <w:color w:val="000000"/>
          <w:sz w:val="20"/>
          <w:szCs w:val="20"/>
        </w:rPr>
        <w:t xml:space="preserve">Source: U.S. Bureau of Labor Statistics, Quarterly Census of Employment and Wages (QCEW), 2025 annual averages (change vs. 2020). * One or more ownership components withheld by BLS for confidentiality; figure shown is a floor.</w:t>
      </w:r>
    </w:p>
    <w:p>
      <w:pPr>
        <w:spacing w:before="160"/>
      </w:pPr>
    </w:p>
    <w:tbl>
      <w:tblPr>
        <w:tblW w:type="dxa" w:w="9360"/>
        <w:jc w:val="center"/>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60"/>
        <w:gridCol w:w="2500"/>
        <w:gridCol w:w="2500"/>
        <w:gridCol w:w="2000"/>
      </w:tblGrid>
      <w:tr>
        <w:tc>
          <w:tcPr>
            <w:tcW w:type="dxa" w:w="9360"/>
            <w:gridSpan w:val="4"/>
            <w:tcBorders>
              <w:top w:val="single" w:color="1A305B" w:sz="1"/>
              <w:left w:val="single" w:color="1A305B" w:sz="1"/>
              <w:bottom w:val="single" w:color="1A305B" w:sz="1"/>
              <w:right w:val="single" w:color="1A305B" w:sz="1"/>
            </w:tcBorders>
            <w:shd w:fill="1A305B" w:color="auto" w:val="clear"/>
            <w:tcMar>
              <w:top w:type="dxa" w:w="61"/>
              <w:left w:type="dxa" w:w="100"/>
              <w:bottom w:type="dxa" w:w="61"/>
              <w:right w:type="dxa" w:w="100"/>
            </w:tcMar>
          </w:tcPr>
          <w:p>
            <w:pPr>
              <w:jc w:val="center"/>
            </w:pPr>
            <w:r>
              <w:rPr>
                <w:rFonts w:ascii="Times New Roman" w:cs="Times New Roman" w:eastAsia="Times New Roman" w:hAnsi="Times New Roman"/>
                <w:b/>
                <w:bCs/>
                <w:color w:val="FFFFFF"/>
                <w:sz w:val="20"/>
                <w:szCs w:val="20"/>
              </w:rPr>
              <w:t xml:space="preserve">At-Place Employment — Hamilton County, TN — 2016 to 2025</w:t>
            </w:r>
          </w:p>
        </w:tc>
      </w:tr>
      <w:tr>
        <w:tc>
          <w:tcPr>
            <w:tcW w:type="dxa" w:w="2360"/>
            <w:tcBorders>
              <w:top w:val="single" w:color="1A305B" w:sz="1"/>
              <w:left w:val="single" w:color="1A305B" w:sz="1"/>
              <w:bottom w:val="single" w:color="1A305B" w:sz="1"/>
              <w:right w:val="single" w:color="1A305B" w:sz="1"/>
            </w:tcBorders>
            <w:shd w:fill="FFFFFF" w:color="auto" w:val="clear"/>
            <w:tcMar>
              <w:top w:type="dxa" w:w="61"/>
              <w:left w:type="dxa" w:w="100"/>
              <w:bottom w:type="dxa" w:w="61"/>
              <w:right w:type="dxa" w:w="100"/>
            </w:tcMar>
          </w:tcPr>
          <w:p>
            <w:pPr>
              <w:jc w:val="center"/>
            </w:pPr>
            <w:r>
              <w:rPr>
                <w:rFonts w:ascii="Times New Roman" w:cs="Times New Roman" w:eastAsia="Times New Roman" w:hAnsi="Times New Roman"/>
                <w:b/>
                <w:bCs/>
                <w:color w:val="000000"/>
                <w:sz w:val="20"/>
                <w:szCs w:val="20"/>
              </w:rPr>
              <w:t xml:space="preserve">Year</w:t>
            </w:r>
          </w:p>
        </w:tc>
        <w:tc>
          <w:tcPr>
            <w:tcW w:type="dxa" w:w="2500"/>
            <w:tcBorders>
              <w:top w:val="single" w:color="1A305B" w:sz="1"/>
              <w:left w:val="single" w:color="1A305B" w:sz="1"/>
              <w:bottom w:val="single" w:color="1A305B" w:sz="1"/>
              <w:right w:val="single" w:color="1A305B" w:sz="1"/>
            </w:tcBorders>
            <w:shd w:fill="FFFFFF" w:color="auto" w:val="clear"/>
            <w:tcMar>
              <w:top w:type="dxa" w:w="61"/>
              <w:left w:type="dxa" w:w="100"/>
              <w:bottom w:type="dxa" w:w="61"/>
              <w:right w:type="dxa" w:w="100"/>
            </w:tcMar>
          </w:tcPr>
          <w:p>
            <w:pPr>
              <w:jc w:val="center"/>
            </w:pPr>
            <w:r>
              <w:rPr>
                <w:rFonts w:ascii="Times New Roman" w:cs="Times New Roman" w:eastAsia="Times New Roman" w:hAnsi="Times New Roman"/>
                <w:b/>
                <w:bCs/>
                <w:color w:val="000000"/>
                <w:sz w:val="20"/>
                <w:szCs w:val="20"/>
              </w:rPr>
              <w:t xml:space="preserve">At-Place Employment</w:t>
            </w:r>
          </w:p>
        </w:tc>
        <w:tc>
          <w:tcPr>
            <w:tcW w:type="dxa" w:w="2500"/>
            <w:tcBorders>
              <w:top w:val="single" w:color="1A305B" w:sz="1"/>
              <w:left w:val="single" w:color="1A305B" w:sz="1"/>
              <w:bottom w:val="single" w:color="1A305B" w:sz="1"/>
              <w:right w:val="single" w:color="1A305B" w:sz="1"/>
            </w:tcBorders>
            <w:shd w:fill="FFFFFF" w:color="auto" w:val="clear"/>
            <w:tcMar>
              <w:top w:type="dxa" w:w="61"/>
              <w:left w:type="dxa" w:w="100"/>
              <w:bottom w:type="dxa" w:w="61"/>
              <w:right w:type="dxa" w:w="100"/>
            </w:tcMar>
          </w:tcPr>
          <w:p>
            <w:pPr>
              <w:jc w:val="center"/>
            </w:pPr>
            <w:r>
              <w:rPr>
                <w:rFonts w:ascii="Times New Roman" w:cs="Times New Roman" w:eastAsia="Times New Roman" w:hAnsi="Times New Roman"/>
                <w:b/>
                <w:bCs/>
                <w:color w:val="000000"/>
                <w:sz w:val="20"/>
                <w:szCs w:val="20"/>
              </w:rPr>
              <w:t xml:space="preserve">Establishments</w:t>
            </w:r>
          </w:p>
        </w:tc>
        <w:tc>
          <w:tcPr>
            <w:tcW w:type="dxa" w:w="2000"/>
            <w:tcBorders>
              <w:top w:val="single" w:color="1A305B" w:sz="1"/>
              <w:left w:val="single" w:color="1A305B" w:sz="1"/>
              <w:bottom w:val="single" w:color="1A305B" w:sz="1"/>
              <w:right w:val="single" w:color="1A305B" w:sz="1"/>
            </w:tcBorders>
            <w:shd w:fill="FFFFFF" w:color="auto" w:val="clear"/>
            <w:tcMar>
              <w:top w:type="dxa" w:w="61"/>
              <w:left w:type="dxa" w:w="100"/>
              <w:bottom w:type="dxa" w:w="61"/>
              <w:right w:type="dxa" w:w="100"/>
            </w:tcMar>
          </w:tcPr>
          <w:p>
            <w:pPr>
              <w:jc w:val="center"/>
            </w:pPr>
            <w:r>
              <w:rPr>
                <w:rFonts w:ascii="Times New Roman" w:cs="Times New Roman" w:eastAsia="Times New Roman" w:hAnsi="Times New Roman"/>
                <w:b/>
                <w:bCs/>
                <w:color w:val="000000"/>
                <w:sz w:val="20"/>
                <w:szCs w:val="20"/>
              </w:rPr>
              <w:t xml:space="preserve">Annual Change</w:t>
            </w:r>
          </w:p>
        </w:tc>
      </w:tr>
      <w:tr>
        <w:tc>
          <w:tcPr>
            <w:tcW w:type="dxa" w:w="2360"/>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color w:val="000000"/>
                <w:sz w:val="20"/>
                <w:szCs w:val="20"/>
              </w:rPr>
              <w:t xml:space="preserve">2016</w:t>
            </w:r>
          </w:p>
        </w:tc>
        <w:tc>
          <w:tcPr>
            <w:tcW w:type="dxa" w:w="2500"/>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color w:val="000000"/>
                <w:sz w:val="20"/>
                <w:szCs w:val="20"/>
              </w:rPr>
              <w:t xml:space="preserve">196,794</w:t>
            </w:r>
          </w:p>
        </w:tc>
        <w:tc>
          <w:tcPr>
            <w:tcW w:type="dxa" w:w="2500"/>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color w:val="000000"/>
                <w:sz w:val="20"/>
                <w:szCs w:val="20"/>
              </w:rPr>
              <w:t xml:space="preserve">9,255</w:t>
            </w:r>
          </w:p>
        </w:tc>
        <w:tc>
          <w:tcPr>
            <w:tcW w:type="dxa" w:w="2000"/>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color w:val="000000"/>
                <w:sz w:val="20"/>
                <w:szCs w:val="20"/>
              </w:rPr>
              <w:t xml:space="preserve">—</w:t>
            </w:r>
          </w:p>
        </w:tc>
      </w:tr>
      <w:tr>
        <w:tc>
          <w:tcPr>
            <w:tcW w:type="dxa" w:w="2360"/>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color w:val="000000"/>
                <w:sz w:val="20"/>
                <w:szCs w:val="20"/>
              </w:rPr>
              <w:t xml:space="preserve">2017</w:t>
            </w:r>
          </w:p>
        </w:tc>
        <w:tc>
          <w:tcPr>
            <w:tcW w:type="dxa" w:w="2500"/>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color w:val="000000"/>
                <w:sz w:val="20"/>
                <w:szCs w:val="20"/>
              </w:rPr>
              <w:t xml:space="preserve">200,522</w:t>
            </w:r>
          </w:p>
        </w:tc>
        <w:tc>
          <w:tcPr>
            <w:tcW w:type="dxa" w:w="2500"/>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color w:val="000000"/>
                <w:sz w:val="20"/>
                <w:szCs w:val="20"/>
              </w:rPr>
              <w:t xml:space="preserve">9,560</w:t>
            </w:r>
          </w:p>
        </w:tc>
        <w:tc>
          <w:tcPr>
            <w:tcW w:type="dxa" w:w="2000"/>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color w:val="000000"/>
                <w:sz w:val="20"/>
                <w:szCs w:val="20"/>
              </w:rPr>
              <w:t xml:space="preserve">+1.9%</w:t>
            </w:r>
          </w:p>
        </w:tc>
      </w:tr>
      <w:tr>
        <w:tc>
          <w:tcPr>
            <w:tcW w:type="dxa" w:w="2360"/>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color w:val="000000"/>
                <w:sz w:val="20"/>
                <w:szCs w:val="20"/>
              </w:rPr>
              <w:t xml:space="preserve">2018</w:t>
            </w:r>
          </w:p>
        </w:tc>
        <w:tc>
          <w:tcPr>
            <w:tcW w:type="dxa" w:w="2500"/>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color w:val="000000"/>
                <w:sz w:val="20"/>
                <w:szCs w:val="20"/>
              </w:rPr>
              <w:t xml:space="preserve">205,565</w:t>
            </w:r>
          </w:p>
        </w:tc>
        <w:tc>
          <w:tcPr>
            <w:tcW w:type="dxa" w:w="2500"/>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color w:val="000000"/>
                <w:sz w:val="20"/>
                <w:szCs w:val="20"/>
              </w:rPr>
              <w:t xml:space="preserve">9,899</w:t>
            </w:r>
          </w:p>
        </w:tc>
        <w:tc>
          <w:tcPr>
            <w:tcW w:type="dxa" w:w="2000"/>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color w:val="000000"/>
                <w:sz w:val="20"/>
                <w:szCs w:val="20"/>
              </w:rPr>
              <w:t xml:space="preserve">+2.5%</w:t>
            </w:r>
          </w:p>
        </w:tc>
      </w:tr>
      <w:tr>
        <w:tc>
          <w:tcPr>
            <w:tcW w:type="dxa" w:w="2360"/>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color w:val="000000"/>
                <w:sz w:val="20"/>
                <w:szCs w:val="20"/>
              </w:rPr>
              <w:t xml:space="preserve">2019</w:t>
            </w:r>
          </w:p>
        </w:tc>
        <w:tc>
          <w:tcPr>
            <w:tcW w:type="dxa" w:w="2500"/>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color w:val="000000"/>
                <w:sz w:val="20"/>
                <w:szCs w:val="20"/>
              </w:rPr>
              <w:t xml:space="preserve">208,228</w:t>
            </w:r>
          </w:p>
        </w:tc>
        <w:tc>
          <w:tcPr>
            <w:tcW w:type="dxa" w:w="2500"/>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color w:val="000000"/>
                <w:sz w:val="20"/>
                <w:szCs w:val="20"/>
              </w:rPr>
              <w:t xml:space="preserve">10,243</w:t>
            </w:r>
          </w:p>
        </w:tc>
        <w:tc>
          <w:tcPr>
            <w:tcW w:type="dxa" w:w="2000"/>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color w:val="000000"/>
                <w:sz w:val="20"/>
                <w:szCs w:val="20"/>
              </w:rPr>
              <w:t xml:space="preserve">+1.3%</w:t>
            </w:r>
          </w:p>
        </w:tc>
      </w:tr>
      <w:tr>
        <w:tc>
          <w:tcPr>
            <w:tcW w:type="dxa" w:w="2360"/>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color w:val="000000"/>
                <w:sz w:val="20"/>
                <w:szCs w:val="20"/>
              </w:rPr>
              <w:t xml:space="preserve">2020</w:t>
            </w:r>
          </w:p>
        </w:tc>
        <w:tc>
          <w:tcPr>
            <w:tcW w:type="dxa" w:w="2500"/>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color w:val="000000"/>
                <w:sz w:val="20"/>
                <w:szCs w:val="20"/>
              </w:rPr>
              <w:t xml:space="preserve">199,009</w:t>
            </w:r>
          </w:p>
        </w:tc>
        <w:tc>
          <w:tcPr>
            <w:tcW w:type="dxa" w:w="2500"/>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color w:val="000000"/>
                <w:sz w:val="20"/>
                <w:szCs w:val="20"/>
              </w:rPr>
              <w:t xml:space="preserve">10,607</w:t>
            </w:r>
          </w:p>
        </w:tc>
        <w:tc>
          <w:tcPr>
            <w:tcW w:type="dxa" w:w="2000"/>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color w:val="000000"/>
                <w:sz w:val="20"/>
                <w:szCs w:val="20"/>
              </w:rPr>
              <w:t xml:space="preserve">-4.4%</w:t>
            </w:r>
          </w:p>
        </w:tc>
      </w:tr>
      <w:tr>
        <w:tc>
          <w:tcPr>
            <w:tcW w:type="dxa" w:w="2360"/>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color w:val="000000"/>
                <w:sz w:val="20"/>
                <w:szCs w:val="20"/>
              </w:rPr>
              <w:t xml:space="preserve">2021</w:t>
            </w:r>
          </w:p>
        </w:tc>
        <w:tc>
          <w:tcPr>
            <w:tcW w:type="dxa" w:w="2500"/>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color w:val="000000"/>
                <w:sz w:val="20"/>
                <w:szCs w:val="20"/>
              </w:rPr>
              <w:t xml:space="preserve">201,559</w:t>
            </w:r>
          </w:p>
        </w:tc>
        <w:tc>
          <w:tcPr>
            <w:tcW w:type="dxa" w:w="2500"/>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color w:val="000000"/>
                <w:sz w:val="20"/>
                <w:szCs w:val="20"/>
              </w:rPr>
              <w:t xml:space="preserve">11,368</w:t>
            </w:r>
          </w:p>
        </w:tc>
        <w:tc>
          <w:tcPr>
            <w:tcW w:type="dxa" w:w="2000"/>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color w:val="000000"/>
                <w:sz w:val="20"/>
                <w:szCs w:val="20"/>
              </w:rPr>
              <w:t xml:space="preserve">+1.3%</w:t>
            </w:r>
          </w:p>
        </w:tc>
      </w:tr>
      <w:tr>
        <w:tc>
          <w:tcPr>
            <w:tcW w:type="dxa" w:w="2360"/>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color w:val="000000"/>
                <w:sz w:val="20"/>
                <w:szCs w:val="20"/>
              </w:rPr>
              <w:t xml:space="preserve">2022</w:t>
            </w:r>
          </w:p>
        </w:tc>
        <w:tc>
          <w:tcPr>
            <w:tcW w:type="dxa" w:w="2500"/>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color w:val="000000"/>
                <w:sz w:val="20"/>
                <w:szCs w:val="20"/>
              </w:rPr>
              <w:t xml:space="preserve">209,272</w:t>
            </w:r>
          </w:p>
        </w:tc>
        <w:tc>
          <w:tcPr>
            <w:tcW w:type="dxa" w:w="2500"/>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color w:val="000000"/>
                <w:sz w:val="20"/>
                <w:szCs w:val="20"/>
              </w:rPr>
              <w:t xml:space="preserve">12,203</w:t>
            </w:r>
          </w:p>
        </w:tc>
        <w:tc>
          <w:tcPr>
            <w:tcW w:type="dxa" w:w="2000"/>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color w:val="000000"/>
                <w:sz w:val="20"/>
                <w:szCs w:val="20"/>
              </w:rPr>
              <w:t xml:space="preserve">+3.8%</w:t>
            </w:r>
          </w:p>
        </w:tc>
      </w:tr>
      <w:tr>
        <w:tc>
          <w:tcPr>
            <w:tcW w:type="dxa" w:w="2360"/>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color w:val="000000"/>
                <w:sz w:val="20"/>
                <w:szCs w:val="20"/>
              </w:rPr>
              <w:t xml:space="preserve">2023</w:t>
            </w:r>
          </w:p>
        </w:tc>
        <w:tc>
          <w:tcPr>
            <w:tcW w:type="dxa" w:w="2500"/>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color w:val="000000"/>
                <w:sz w:val="20"/>
                <w:szCs w:val="20"/>
              </w:rPr>
              <w:t xml:space="preserve">217,651</w:t>
            </w:r>
          </w:p>
        </w:tc>
        <w:tc>
          <w:tcPr>
            <w:tcW w:type="dxa" w:w="2500"/>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color w:val="000000"/>
                <w:sz w:val="20"/>
                <w:szCs w:val="20"/>
              </w:rPr>
              <w:t xml:space="preserve">13,167</w:t>
            </w:r>
          </w:p>
        </w:tc>
        <w:tc>
          <w:tcPr>
            <w:tcW w:type="dxa" w:w="2000"/>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color w:val="000000"/>
                <w:sz w:val="20"/>
                <w:szCs w:val="20"/>
              </w:rPr>
              <w:t xml:space="preserve">+4.0%</w:t>
            </w:r>
          </w:p>
        </w:tc>
      </w:tr>
      <w:tr>
        <w:tc>
          <w:tcPr>
            <w:tcW w:type="dxa" w:w="2360"/>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color w:val="000000"/>
                <w:sz w:val="20"/>
                <w:szCs w:val="20"/>
              </w:rPr>
              <w:t xml:space="preserve">2024</w:t>
            </w:r>
          </w:p>
        </w:tc>
        <w:tc>
          <w:tcPr>
            <w:tcW w:type="dxa" w:w="2500"/>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color w:val="000000"/>
                <w:sz w:val="20"/>
                <w:szCs w:val="20"/>
              </w:rPr>
              <w:t xml:space="preserve">221,207</w:t>
            </w:r>
          </w:p>
        </w:tc>
        <w:tc>
          <w:tcPr>
            <w:tcW w:type="dxa" w:w="2500"/>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color w:val="000000"/>
                <w:sz w:val="20"/>
                <w:szCs w:val="20"/>
              </w:rPr>
              <w:t xml:space="preserve">13,611</w:t>
            </w:r>
          </w:p>
        </w:tc>
        <w:tc>
          <w:tcPr>
            <w:tcW w:type="dxa" w:w="2000"/>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color w:val="000000"/>
                <w:sz w:val="20"/>
                <w:szCs w:val="20"/>
              </w:rPr>
              <w:t xml:space="preserve">+1.6%</w:t>
            </w:r>
          </w:p>
        </w:tc>
      </w:tr>
      <w:tr>
        <w:tc>
          <w:tcPr>
            <w:tcW w:type="dxa" w:w="2360"/>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color w:val="000000"/>
                <w:sz w:val="20"/>
                <w:szCs w:val="20"/>
              </w:rPr>
              <w:t xml:space="preserve">2025</w:t>
            </w:r>
          </w:p>
        </w:tc>
        <w:tc>
          <w:tcPr>
            <w:tcW w:type="dxa" w:w="2500"/>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color w:val="000000"/>
                <w:sz w:val="20"/>
                <w:szCs w:val="20"/>
              </w:rPr>
              <w:t xml:space="preserve">219,580</w:t>
            </w:r>
          </w:p>
        </w:tc>
        <w:tc>
          <w:tcPr>
            <w:tcW w:type="dxa" w:w="2500"/>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color w:val="000000"/>
                <w:sz w:val="20"/>
                <w:szCs w:val="20"/>
              </w:rPr>
              <w:t xml:space="preserve">12,472</w:t>
            </w:r>
          </w:p>
        </w:tc>
        <w:tc>
          <w:tcPr>
            <w:tcW w:type="dxa" w:w="2000"/>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color w:val="000000"/>
                <w:sz w:val="20"/>
                <w:szCs w:val="20"/>
              </w:rPr>
              <w:t xml:space="preserve">-0.7%</w:t>
            </w:r>
          </w:p>
        </w:tc>
      </w:tr>
    </w:tbl>
    <w:p>
      <w:pPr>
        <w:spacing w:before="40"/>
      </w:pPr>
      <w:r>
        <w:rPr>
          <w:rFonts w:ascii="Times New Roman" w:cs="Times New Roman" w:eastAsia="Times New Roman" w:hAnsi="Times New Roman"/>
          <w:color w:val="000000"/>
          <w:sz w:val="20"/>
          <w:szCs w:val="20"/>
        </w:rPr>
        <w:t xml:space="preserve">Source: U.S. Bureau of Labor Statistics, Quarterly Census of Employment and Wages (QCEW), annual averages, all ownerships, all industries.</w:t>
      </w:r>
    </w:p>
    <w:p>
      <w:pPr>
        <w:spacing w:before="160"/>
      </w:pPr>
    </w:p>
    <w:tbl>
      <w:tblPr>
        <w:tblW w:type="dxa" w:w="9360"/>
        <w:jc w:val="center"/>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560"/>
        <w:gridCol w:w="1450"/>
        <w:gridCol w:w="1450"/>
        <w:gridCol w:w="1300"/>
        <w:gridCol w:w="1600"/>
      </w:tblGrid>
      <w:tr>
        <w:tc>
          <w:tcPr>
            <w:tcW w:type="dxa" w:w="9360"/>
            <w:gridSpan w:val="5"/>
            <w:tcBorders>
              <w:top w:val="single" w:color="1A305B" w:sz="1"/>
              <w:left w:val="single" w:color="1A305B" w:sz="1"/>
              <w:bottom w:val="single" w:color="1A305B" w:sz="1"/>
              <w:right w:val="single" w:color="1A305B" w:sz="1"/>
            </w:tcBorders>
            <w:shd w:fill="1A305B" w:color="auto" w:val="clear"/>
            <w:tcMar>
              <w:top w:type="dxa" w:w="61"/>
              <w:left w:type="dxa" w:w="100"/>
              <w:bottom w:type="dxa" w:w="61"/>
              <w:right w:type="dxa" w:w="100"/>
            </w:tcMar>
          </w:tcPr>
          <w:p>
            <w:pPr>
              <w:jc w:val="center"/>
            </w:pPr>
            <w:r>
              <w:rPr>
                <w:rFonts w:ascii="Times New Roman" w:cs="Times New Roman" w:eastAsia="Times New Roman" w:hAnsi="Times New Roman"/>
                <w:b/>
                <w:bCs/>
                <w:color w:val="FFFFFF"/>
                <w:sz w:val="20"/>
                <w:szCs w:val="20"/>
              </w:rPr>
              <w:t xml:space="preserve">Long-Term Employment Projections — Tennessee — 2024 to 2034</w:t>
            </w:r>
          </w:p>
        </w:tc>
      </w:tr>
      <w:tr>
        <w:tc>
          <w:tcPr>
            <w:tcW w:type="dxa" w:w="3560"/>
            <w:tcBorders>
              <w:top w:val="single" w:color="1A305B" w:sz="1"/>
              <w:left w:val="single" w:color="1A305B" w:sz="1"/>
              <w:bottom w:val="single" w:color="1A305B" w:sz="1"/>
              <w:right w:val="single" w:color="1A305B" w:sz="1"/>
            </w:tcBorders>
            <w:shd w:fill="FFFFFF" w:color="auto" w:val="clear"/>
            <w:tcMar>
              <w:top w:type="dxa" w:w="61"/>
              <w:left w:type="dxa" w:w="100"/>
              <w:bottom w:type="dxa" w:w="61"/>
              <w:right w:type="dxa" w:w="100"/>
            </w:tcMar>
          </w:tcPr>
          <w:p>
            <w:pPr>
              <w:jc w:val="center"/>
            </w:pPr>
            <w:r>
              <w:rPr>
                <w:rFonts w:ascii="Times New Roman" w:cs="Times New Roman" w:eastAsia="Times New Roman" w:hAnsi="Times New Roman"/>
                <w:b/>
                <w:bCs/>
                <w:color w:val="000000"/>
                <w:sz w:val="20"/>
                <w:szCs w:val="20"/>
              </w:rPr>
              <w:t xml:space="preserve">Major Occupational Group</w:t>
            </w:r>
          </w:p>
        </w:tc>
        <w:tc>
          <w:tcPr>
            <w:tcW w:type="dxa" w:w="1450"/>
            <w:tcBorders>
              <w:top w:val="single" w:color="1A305B" w:sz="1"/>
              <w:left w:val="single" w:color="1A305B" w:sz="1"/>
              <w:bottom w:val="single" w:color="1A305B" w:sz="1"/>
              <w:right w:val="single" w:color="1A305B" w:sz="1"/>
            </w:tcBorders>
            <w:shd w:fill="FFFFFF" w:color="auto" w:val="clear"/>
            <w:tcMar>
              <w:top w:type="dxa" w:w="61"/>
              <w:left w:type="dxa" w:w="100"/>
              <w:bottom w:type="dxa" w:w="61"/>
              <w:right w:type="dxa" w:w="100"/>
            </w:tcMar>
          </w:tcPr>
          <w:p>
            <w:pPr>
              <w:jc w:val="center"/>
            </w:pPr>
            <w:r>
              <w:rPr>
                <w:rFonts w:ascii="Times New Roman" w:cs="Times New Roman" w:eastAsia="Times New Roman" w:hAnsi="Times New Roman"/>
                <w:b/>
                <w:bCs/>
                <w:color w:val="000000"/>
                <w:sz w:val="20"/>
                <w:szCs w:val="20"/>
              </w:rPr>
              <w:t xml:space="preserve">2024</w:t>
            </w:r>
          </w:p>
        </w:tc>
        <w:tc>
          <w:tcPr>
            <w:tcW w:type="dxa" w:w="1450"/>
            <w:tcBorders>
              <w:top w:val="single" w:color="1A305B" w:sz="1"/>
              <w:left w:val="single" w:color="1A305B" w:sz="1"/>
              <w:bottom w:val="single" w:color="1A305B" w:sz="1"/>
              <w:right w:val="single" w:color="1A305B" w:sz="1"/>
            </w:tcBorders>
            <w:shd w:fill="FFFFFF" w:color="auto" w:val="clear"/>
            <w:tcMar>
              <w:top w:type="dxa" w:w="61"/>
              <w:left w:type="dxa" w:w="100"/>
              <w:bottom w:type="dxa" w:w="61"/>
              <w:right w:type="dxa" w:w="100"/>
            </w:tcMar>
          </w:tcPr>
          <w:p>
            <w:pPr>
              <w:jc w:val="center"/>
            </w:pPr>
            <w:r>
              <w:rPr>
                <w:rFonts w:ascii="Times New Roman" w:cs="Times New Roman" w:eastAsia="Times New Roman" w:hAnsi="Times New Roman"/>
                <w:b/>
                <w:bCs/>
                <w:color w:val="000000"/>
                <w:sz w:val="20"/>
                <w:szCs w:val="20"/>
              </w:rPr>
              <w:t xml:space="preserve">2034</w:t>
            </w:r>
          </w:p>
        </w:tc>
        <w:tc>
          <w:tcPr>
            <w:tcW w:type="dxa" w:w="1300"/>
            <w:tcBorders>
              <w:top w:val="single" w:color="1A305B" w:sz="1"/>
              <w:left w:val="single" w:color="1A305B" w:sz="1"/>
              <w:bottom w:val="single" w:color="1A305B" w:sz="1"/>
              <w:right w:val="single" w:color="1A305B" w:sz="1"/>
            </w:tcBorders>
            <w:shd w:fill="FFFFFF" w:color="auto" w:val="clear"/>
            <w:tcMar>
              <w:top w:type="dxa" w:w="61"/>
              <w:left w:type="dxa" w:w="100"/>
              <w:bottom w:type="dxa" w:w="61"/>
              <w:right w:type="dxa" w:w="100"/>
            </w:tcMar>
          </w:tcPr>
          <w:p>
            <w:pPr>
              <w:jc w:val="center"/>
            </w:pPr>
            <w:r>
              <w:rPr>
                <w:rFonts w:ascii="Times New Roman" w:cs="Times New Roman" w:eastAsia="Times New Roman" w:hAnsi="Times New Roman"/>
                <w:b/>
                <w:bCs/>
                <w:color w:val="000000"/>
                <w:sz w:val="20"/>
                <w:szCs w:val="20"/>
              </w:rPr>
              <w:t xml:space="preserve">Change</w:t>
            </w:r>
          </w:p>
        </w:tc>
        <w:tc>
          <w:tcPr>
            <w:tcW w:type="dxa" w:w="1600"/>
            <w:tcBorders>
              <w:top w:val="single" w:color="1A305B" w:sz="1"/>
              <w:left w:val="single" w:color="1A305B" w:sz="1"/>
              <w:bottom w:val="single" w:color="1A305B" w:sz="1"/>
              <w:right w:val="single" w:color="1A305B" w:sz="1"/>
            </w:tcBorders>
            <w:shd w:fill="FFFFFF" w:color="auto" w:val="clear"/>
            <w:tcMar>
              <w:top w:type="dxa" w:w="61"/>
              <w:left w:type="dxa" w:w="100"/>
              <w:bottom w:type="dxa" w:w="61"/>
              <w:right w:type="dxa" w:w="100"/>
            </w:tcMar>
          </w:tcPr>
          <w:p>
            <w:pPr>
              <w:jc w:val="center"/>
            </w:pPr>
            <w:r>
              <w:rPr>
                <w:rFonts w:ascii="Times New Roman" w:cs="Times New Roman" w:eastAsia="Times New Roman" w:hAnsi="Times New Roman"/>
                <w:b/>
                <w:bCs/>
                <w:color w:val="000000"/>
                <w:sz w:val="20"/>
                <w:szCs w:val="20"/>
              </w:rPr>
              <w:t xml:space="preserve">Avg. Annual Openings</w:t>
            </w:r>
          </w:p>
        </w:tc>
      </w:tr>
      <w:tr>
        <w:tc>
          <w:tcPr>
            <w:tcW w:type="dxa" w:w="3560"/>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color w:val="000000"/>
                <w:sz w:val="20"/>
                <w:szCs w:val="20"/>
              </w:rPr>
              <w:t xml:space="preserve">Office and Administrative Support</w:t>
            </w:r>
          </w:p>
        </w:tc>
        <w:tc>
          <w:tcPr>
            <w:tcW w:type="dxa" w:w="1450"/>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color w:val="000000"/>
                <w:sz w:val="20"/>
                <w:szCs w:val="20"/>
              </w:rPr>
              <w:t xml:space="preserve">472,350</w:t>
            </w:r>
          </w:p>
        </w:tc>
        <w:tc>
          <w:tcPr>
            <w:tcW w:type="dxa" w:w="1450"/>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color w:val="000000"/>
                <w:sz w:val="20"/>
                <w:szCs w:val="20"/>
              </w:rPr>
              <w:t xml:space="preserve">480,630</w:t>
            </w:r>
          </w:p>
        </w:tc>
        <w:tc>
          <w:tcPr>
            <w:tcW w:type="dxa" w:w="1300"/>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color w:val="000000"/>
                <w:sz w:val="20"/>
                <w:szCs w:val="20"/>
              </w:rPr>
              <w:t xml:space="preserve">+1.8%</w:t>
            </w:r>
          </w:p>
        </w:tc>
        <w:tc>
          <w:tcPr>
            <w:tcW w:type="dxa" w:w="1600"/>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color w:val="000000"/>
                <w:sz w:val="20"/>
                <w:szCs w:val="20"/>
              </w:rPr>
              <w:t xml:space="preserve">52,570</w:t>
            </w:r>
          </w:p>
        </w:tc>
      </w:tr>
      <w:tr>
        <w:tc>
          <w:tcPr>
            <w:tcW w:type="dxa" w:w="3560"/>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color w:val="000000"/>
                <w:sz w:val="20"/>
                <w:szCs w:val="20"/>
              </w:rPr>
              <w:t xml:space="preserve">Transportation and Material Moving</w:t>
            </w:r>
          </w:p>
        </w:tc>
        <w:tc>
          <w:tcPr>
            <w:tcW w:type="dxa" w:w="1450"/>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color w:val="000000"/>
                <w:sz w:val="20"/>
                <w:szCs w:val="20"/>
              </w:rPr>
              <w:t xml:space="preserve">393,760</w:t>
            </w:r>
          </w:p>
        </w:tc>
        <w:tc>
          <w:tcPr>
            <w:tcW w:type="dxa" w:w="1450"/>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color w:val="000000"/>
                <w:sz w:val="20"/>
                <w:szCs w:val="20"/>
              </w:rPr>
              <w:t xml:space="preserve">428,140</w:t>
            </w:r>
          </w:p>
        </w:tc>
        <w:tc>
          <w:tcPr>
            <w:tcW w:type="dxa" w:w="1300"/>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color w:val="000000"/>
                <w:sz w:val="20"/>
                <w:szCs w:val="20"/>
              </w:rPr>
              <w:t xml:space="preserve">+8.7%</w:t>
            </w:r>
          </w:p>
        </w:tc>
        <w:tc>
          <w:tcPr>
            <w:tcW w:type="dxa" w:w="1600"/>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color w:val="000000"/>
                <w:sz w:val="20"/>
                <w:szCs w:val="20"/>
              </w:rPr>
              <w:t xml:space="preserve">52,480</w:t>
            </w:r>
          </w:p>
        </w:tc>
      </w:tr>
      <w:tr>
        <w:tc>
          <w:tcPr>
            <w:tcW w:type="dxa" w:w="3560"/>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color w:val="000000"/>
                <w:sz w:val="20"/>
                <w:szCs w:val="20"/>
              </w:rPr>
              <w:t xml:space="preserve">Food Preparation and Serving Related</w:t>
            </w:r>
          </w:p>
        </w:tc>
        <w:tc>
          <w:tcPr>
            <w:tcW w:type="dxa" w:w="1450"/>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color w:val="000000"/>
                <w:sz w:val="20"/>
                <w:szCs w:val="20"/>
              </w:rPr>
              <w:t xml:space="preserve">302,180</w:t>
            </w:r>
          </w:p>
        </w:tc>
        <w:tc>
          <w:tcPr>
            <w:tcW w:type="dxa" w:w="1450"/>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color w:val="000000"/>
                <w:sz w:val="20"/>
                <w:szCs w:val="20"/>
              </w:rPr>
              <w:t xml:space="preserve">337,640</w:t>
            </w:r>
          </w:p>
        </w:tc>
        <w:tc>
          <w:tcPr>
            <w:tcW w:type="dxa" w:w="1300"/>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color w:val="000000"/>
                <w:sz w:val="20"/>
                <w:szCs w:val="20"/>
              </w:rPr>
              <w:t xml:space="preserve">+11.7%</w:t>
            </w:r>
          </w:p>
        </w:tc>
        <w:tc>
          <w:tcPr>
            <w:tcW w:type="dxa" w:w="1600"/>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color w:val="000000"/>
                <w:sz w:val="20"/>
                <w:szCs w:val="20"/>
              </w:rPr>
              <w:t xml:space="preserve">62,370</w:t>
            </w:r>
          </w:p>
        </w:tc>
      </w:tr>
      <w:tr>
        <w:tc>
          <w:tcPr>
            <w:tcW w:type="dxa" w:w="3560"/>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color w:val="000000"/>
                <w:sz w:val="20"/>
                <w:szCs w:val="20"/>
              </w:rPr>
              <w:t xml:space="preserve">Sales and Related</w:t>
            </w:r>
          </w:p>
        </w:tc>
        <w:tc>
          <w:tcPr>
            <w:tcW w:type="dxa" w:w="1450"/>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color w:val="000000"/>
                <w:sz w:val="20"/>
                <w:szCs w:val="20"/>
              </w:rPr>
              <w:t xml:space="preserve">281,260</w:t>
            </w:r>
          </w:p>
        </w:tc>
        <w:tc>
          <w:tcPr>
            <w:tcW w:type="dxa" w:w="1450"/>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color w:val="000000"/>
                <w:sz w:val="20"/>
                <w:szCs w:val="20"/>
              </w:rPr>
              <w:t xml:space="preserve">287,900</w:t>
            </w:r>
          </w:p>
        </w:tc>
        <w:tc>
          <w:tcPr>
            <w:tcW w:type="dxa" w:w="1300"/>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color w:val="000000"/>
                <w:sz w:val="20"/>
                <w:szCs w:val="20"/>
              </w:rPr>
              <w:t xml:space="preserve">+2.4%</w:t>
            </w:r>
          </w:p>
        </w:tc>
        <w:tc>
          <w:tcPr>
            <w:tcW w:type="dxa" w:w="1600"/>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color w:val="000000"/>
                <w:sz w:val="20"/>
                <w:szCs w:val="20"/>
              </w:rPr>
              <w:t xml:space="preserve">37,450</w:t>
            </w:r>
          </w:p>
        </w:tc>
      </w:tr>
      <w:tr>
        <w:tc>
          <w:tcPr>
            <w:tcW w:type="dxa" w:w="3560"/>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color w:val="000000"/>
                <w:sz w:val="20"/>
                <w:szCs w:val="20"/>
              </w:rPr>
              <w:t xml:space="preserve">Management</w:t>
            </w:r>
          </w:p>
        </w:tc>
        <w:tc>
          <w:tcPr>
            <w:tcW w:type="dxa" w:w="1450"/>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color w:val="000000"/>
                <w:sz w:val="20"/>
                <w:szCs w:val="20"/>
              </w:rPr>
              <w:t xml:space="preserve">276,710</w:t>
            </w:r>
          </w:p>
        </w:tc>
        <w:tc>
          <w:tcPr>
            <w:tcW w:type="dxa" w:w="1450"/>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color w:val="000000"/>
                <w:sz w:val="20"/>
                <w:szCs w:val="20"/>
              </w:rPr>
              <w:t xml:space="preserve">309,900</w:t>
            </w:r>
          </w:p>
        </w:tc>
        <w:tc>
          <w:tcPr>
            <w:tcW w:type="dxa" w:w="1300"/>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color w:val="000000"/>
                <w:sz w:val="20"/>
                <w:szCs w:val="20"/>
              </w:rPr>
              <w:t xml:space="preserve">+12.0%</w:t>
            </w:r>
          </w:p>
        </w:tc>
        <w:tc>
          <w:tcPr>
            <w:tcW w:type="dxa" w:w="1600"/>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color w:val="000000"/>
                <w:sz w:val="20"/>
                <w:szCs w:val="20"/>
              </w:rPr>
              <w:t xml:space="preserve">25,480</w:t>
            </w:r>
          </w:p>
        </w:tc>
      </w:tr>
      <w:tr>
        <w:tc>
          <w:tcPr>
            <w:tcW w:type="dxa" w:w="3560"/>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color w:val="000000"/>
                <w:sz w:val="20"/>
                <w:szCs w:val="20"/>
              </w:rPr>
              <w:t xml:space="preserve">Production</w:t>
            </w:r>
          </w:p>
        </w:tc>
        <w:tc>
          <w:tcPr>
            <w:tcW w:type="dxa" w:w="1450"/>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color w:val="000000"/>
                <w:sz w:val="20"/>
                <w:szCs w:val="20"/>
              </w:rPr>
              <w:t xml:space="preserve">268,130</w:t>
            </w:r>
          </w:p>
        </w:tc>
        <w:tc>
          <w:tcPr>
            <w:tcW w:type="dxa" w:w="1450"/>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color w:val="000000"/>
                <w:sz w:val="20"/>
                <w:szCs w:val="20"/>
              </w:rPr>
              <w:t xml:space="preserve">277,480</w:t>
            </w:r>
          </w:p>
        </w:tc>
        <w:tc>
          <w:tcPr>
            <w:tcW w:type="dxa" w:w="1300"/>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color w:val="000000"/>
                <w:sz w:val="20"/>
                <w:szCs w:val="20"/>
              </w:rPr>
              <w:t xml:space="preserve">+3.5%</w:t>
            </w:r>
          </w:p>
        </w:tc>
        <w:tc>
          <w:tcPr>
            <w:tcW w:type="dxa" w:w="1600"/>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color w:val="000000"/>
                <w:sz w:val="20"/>
                <w:szCs w:val="20"/>
              </w:rPr>
              <w:t xml:space="preserve">30,250</w:t>
            </w:r>
          </w:p>
        </w:tc>
      </w:tr>
      <w:tr>
        <w:tc>
          <w:tcPr>
            <w:tcW w:type="dxa" w:w="3560"/>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color w:val="000000"/>
                <w:sz w:val="20"/>
                <w:szCs w:val="20"/>
              </w:rPr>
              <w:t xml:space="preserve">Healthcare Practitioners and Technical</w:t>
            </w:r>
          </w:p>
        </w:tc>
        <w:tc>
          <w:tcPr>
            <w:tcW w:type="dxa" w:w="1450"/>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color w:val="000000"/>
                <w:sz w:val="20"/>
                <w:szCs w:val="20"/>
              </w:rPr>
              <w:t xml:space="preserve">226,980</w:t>
            </w:r>
          </w:p>
        </w:tc>
        <w:tc>
          <w:tcPr>
            <w:tcW w:type="dxa" w:w="1450"/>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color w:val="000000"/>
                <w:sz w:val="20"/>
                <w:szCs w:val="20"/>
              </w:rPr>
              <w:t xml:space="preserve">250,090</w:t>
            </w:r>
          </w:p>
        </w:tc>
        <w:tc>
          <w:tcPr>
            <w:tcW w:type="dxa" w:w="1300"/>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color w:val="000000"/>
                <w:sz w:val="20"/>
                <w:szCs w:val="20"/>
              </w:rPr>
              <w:t xml:space="preserve">+10.2%</w:t>
            </w:r>
          </w:p>
        </w:tc>
        <w:tc>
          <w:tcPr>
            <w:tcW w:type="dxa" w:w="1600"/>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color w:val="000000"/>
                <w:sz w:val="20"/>
                <w:szCs w:val="20"/>
              </w:rPr>
              <w:t xml:space="preserve">15,120</w:t>
            </w:r>
          </w:p>
        </w:tc>
      </w:tr>
      <w:tr>
        <w:tc>
          <w:tcPr>
            <w:tcW w:type="dxa" w:w="3560"/>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color w:val="000000"/>
                <w:sz w:val="20"/>
                <w:szCs w:val="20"/>
              </w:rPr>
              <w:t xml:space="preserve">Business and Financial Operations</w:t>
            </w:r>
          </w:p>
        </w:tc>
        <w:tc>
          <w:tcPr>
            <w:tcW w:type="dxa" w:w="1450"/>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color w:val="000000"/>
                <w:sz w:val="20"/>
                <w:szCs w:val="20"/>
              </w:rPr>
              <w:t xml:space="preserve">191,830</w:t>
            </w:r>
          </w:p>
        </w:tc>
        <w:tc>
          <w:tcPr>
            <w:tcW w:type="dxa" w:w="1450"/>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color w:val="000000"/>
                <w:sz w:val="20"/>
                <w:szCs w:val="20"/>
              </w:rPr>
              <w:t xml:space="preserve">212,050</w:t>
            </w:r>
          </w:p>
        </w:tc>
        <w:tc>
          <w:tcPr>
            <w:tcW w:type="dxa" w:w="1300"/>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color w:val="000000"/>
                <w:sz w:val="20"/>
                <w:szCs w:val="20"/>
              </w:rPr>
              <w:t xml:space="preserve">+10.5%</w:t>
            </w:r>
          </w:p>
        </w:tc>
        <w:tc>
          <w:tcPr>
            <w:tcW w:type="dxa" w:w="1600"/>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color w:val="000000"/>
                <w:sz w:val="20"/>
                <w:szCs w:val="20"/>
              </w:rPr>
              <w:t xml:space="preserve">17,180</w:t>
            </w:r>
          </w:p>
        </w:tc>
      </w:tr>
      <w:tr>
        <w:tc>
          <w:tcPr>
            <w:tcW w:type="dxa" w:w="3560"/>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color w:val="000000"/>
                <w:sz w:val="20"/>
                <w:szCs w:val="20"/>
              </w:rPr>
              <w:t xml:space="preserve">Educational Instruction and Library</w:t>
            </w:r>
          </w:p>
        </w:tc>
        <w:tc>
          <w:tcPr>
            <w:tcW w:type="dxa" w:w="1450"/>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color w:val="000000"/>
                <w:sz w:val="20"/>
                <w:szCs w:val="20"/>
              </w:rPr>
              <w:t xml:space="preserve">160,340</w:t>
            </w:r>
          </w:p>
        </w:tc>
        <w:tc>
          <w:tcPr>
            <w:tcW w:type="dxa" w:w="1450"/>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color w:val="000000"/>
                <w:sz w:val="20"/>
                <w:szCs w:val="20"/>
              </w:rPr>
              <w:t xml:space="preserve">175,280</w:t>
            </w:r>
          </w:p>
        </w:tc>
        <w:tc>
          <w:tcPr>
            <w:tcW w:type="dxa" w:w="1300"/>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color w:val="000000"/>
                <w:sz w:val="20"/>
                <w:szCs w:val="20"/>
              </w:rPr>
              <w:t xml:space="preserve">+9.3%</w:t>
            </w:r>
          </w:p>
        </w:tc>
        <w:tc>
          <w:tcPr>
            <w:tcW w:type="dxa" w:w="1600"/>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color w:val="000000"/>
                <w:sz w:val="20"/>
                <w:szCs w:val="20"/>
              </w:rPr>
              <w:t xml:space="preserve">15,770</w:t>
            </w:r>
          </w:p>
        </w:tc>
      </w:tr>
      <w:tr>
        <w:tc>
          <w:tcPr>
            <w:tcW w:type="dxa" w:w="3560"/>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color w:val="000000"/>
                <w:sz w:val="20"/>
                <w:szCs w:val="20"/>
              </w:rPr>
              <w:t xml:space="preserve">Installation, Maintenance, and Repair</w:t>
            </w:r>
          </w:p>
        </w:tc>
        <w:tc>
          <w:tcPr>
            <w:tcW w:type="dxa" w:w="1450"/>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color w:val="000000"/>
                <w:sz w:val="20"/>
                <w:szCs w:val="20"/>
              </w:rPr>
              <w:t xml:space="preserve">155,520</w:t>
            </w:r>
          </w:p>
        </w:tc>
        <w:tc>
          <w:tcPr>
            <w:tcW w:type="dxa" w:w="1450"/>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color w:val="000000"/>
                <w:sz w:val="20"/>
                <w:szCs w:val="20"/>
              </w:rPr>
              <w:t xml:space="preserve">173,230</w:t>
            </w:r>
          </w:p>
        </w:tc>
        <w:tc>
          <w:tcPr>
            <w:tcW w:type="dxa" w:w="1300"/>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color w:val="000000"/>
                <w:sz w:val="20"/>
                <w:szCs w:val="20"/>
              </w:rPr>
              <w:t xml:space="preserve">+11.4%</w:t>
            </w:r>
          </w:p>
        </w:tc>
        <w:tc>
          <w:tcPr>
            <w:tcW w:type="dxa" w:w="1600"/>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color w:val="000000"/>
                <w:sz w:val="20"/>
                <w:szCs w:val="20"/>
              </w:rPr>
              <w:t xml:space="preserve">15,980</w:t>
            </w:r>
          </w:p>
        </w:tc>
      </w:tr>
      <w:tr>
        <w:tc>
          <w:tcPr>
            <w:tcW w:type="dxa" w:w="3560"/>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color w:val="000000"/>
                <w:sz w:val="20"/>
                <w:szCs w:val="20"/>
              </w:rPr>
              <w:t xml:space="preserve">Construction and Extraction</w:t>
            </w:r>
          </w:p>
        </w:tc>
        <w:tc>
          <w:tcPr>
            <w:tcW w:type="dxa" w:w="1450"/>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color w:val="000000"/>
                <w:sz w:val="20"/>
                <w:szCs w:val="20"/>
              </w:rPr>
              <w:t xml:space="preserve">153,390</w:t>
            </w:r>
          </w:p>
        </w:tc>
        <w:tc>
          <w:tcPr>
            <w:tcW w:type="dxa" w:w="1450"/>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color w:val="000000"/>
                <w:sz w:val="20"/>
                <w:szCs w:val="20"/>
              </w:rPr>
              <w:t xml:space="preserve">176,670</w:t>
            </w:r>
          </w:p>
        </w:tc>
        <w:tc>
          <w:tcPr>
            <w:tcW w:type="dxa" w:w="1300"/>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color w:val="000000"/>
                <w:sz w:val="20"/>
                <w:szCs w:val="20"/>
              </w:rPr>
              <w:t xml:space="preserve">+15.2%</w:t>
            </w:r>
          </w:p>
        </w:tc>
        <w:tc>
          <w:tcPr>
            <w:tcW w:type="dxa" w:w="1600"/>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color w:val="000000"/>
                <w:sz w:val="20"/>
                <w:szCs w:val="20"/>
              </w:rPr>
              <w:t xml:space="preserve">15,340</w:t>
            </w:r>
          </w:p>
        </w:tc>
      </w:tr>
      <w:tr>
        <w:tc>
          <w:tcPr>
            <w:tcW w:type="dxa" w:w="3560"/>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color w:val="000000"/>
                <w:sz w:val="20"/>
                <w:szCs w:val="20"/>
              </w:rPr>
              <w:t xml:space="preserve">Healthcare Support</w:t>
            </w:r>
          </w:p>
        </w:tc>
        <w:tc>
          <w:tcPr>
            <w:tcW w:type="dxa" w:w="1450"/>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color w:val="000000"/>
                <w:sz w:val="20"/>
                <w:szCs w:val="20"/>
              </w:rPr>
              <w:t xml:space="preserve">106,260</w:t>
            </w:r>
          </w:p>
        </w:tc>
        <w:tc>
          <w:tcPr>
            <w:tcW w:type="dxa" w:w="1450"/>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color w:val="000000"/>
                <w:sz w:val="20"/>
                <w:szCs w:val="20"/>
              </w:rPr>
              <w:t xml:space="preserve">121,940</w:t>
            </w:r>
          </w:p>
        </w:tc>
        <w:tc>
          <w:tcPr>
            <w:tcW w:type="dxa" w:w="1300"/>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color w:val="000000"/>
                <w:sz w:val="20"/>
                <w:szCs w:val="20"/>
              </w:rPr>
              <w:t xml:space="preserve">+14.8%</w:t>
            </w:r>
          </w:p>
        </w:tc>
        <w:tc>
          <w:tcPr>
            <w:tcW w:type="dxa" w:w="1600"/>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color w:val="000000"/>
                <w:sz w:val="20"/>
                <w:szCs w:val="20"/>
              </w:rPr>
              <w:t xml:space="preserve">17,240</w:t>
            </w:r>
          </w:p>
        </w:tc>
      </w:tr>
      <w:tr>
        <w:tc>
          <w:tcPr>
            <w:tcW w:type="dxa" w:w="3560"/>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color w:val="000000"/>
                <w:sz w:val="20"/>
                <w:szCs w:val="20"/>
              </w:rPr>
              <w:t xml:space="preserve">Building and Grounds Cleaning and Maintenance</w:t>
            </w:r>
          </w:p>
        </w:tc>
        <w:tc>
          <w:tcPr>
            <w:tcW w:type="dxa" w:w="1450"/>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color w:val="000000"/>
                <w:sz w:val="20"/>
                <w:szCs w:val="20"/>
              </w:rPr>
              <w:t xml:space="preserve">106,190</w:t>
            </w:r>
          </w:p>
        </w:tc>
        <w:tc>
          <w:tcPr>
            <w:tcW w:type="dxa" w:w="1450"/>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color w:val="000000"/>
                <w:sz w:val="20"/>
                <w:szCs w:val="20"/>
              </w:rPr>
              <w:t xml:space="preserve">116,810</w:t>
            </w:r>
          </w:p>
        </w:tc>
        <w:tc>
          <w:tcPr>
            <w:tcW w:type="dxa" w:w="1300"/>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color w:val="000000"/>
                <w:sz w:val="20"/>
                <w:szCs w:val="20"/>
              </w:rPr>
              <w:t xml:space="preserve">+10.0%</w:t>
            </w:r>
          </w:p>
        </w:tc>
        <w:tc>
          <w:tcPr>
            <w:tcW w:type="dxa" w:w="1600"/>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color w:val="000000"/>
                <w:sz w:val="20"/>
                <w:szCs w:val="20"/>
              </w:rPr>
              <w:t xml:space="preserve">16,010</w:t>
            </w:r>
          </w:p>
        </w:tc>
      </w:tr>
      <w:tr>
        <w:tc>
          <w:tcPr>
            <w:tcW w:type="dxa" w:w="3560"/>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color w:val="000000"/>
                <w:sz w:val="20"/>
                <w:szCs w:val="20"/>
              </w:rPr>
              <w:t xml:space="preserve">Personal Care and Service</w:t>
            </w:r>
          </w:p>
        </w:tc>
        <w:tc>
          <w:tcPr>
            <w:tcW w:type="dxa" w:w="1450"/>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color w:val="000000"/>
                <w:sz w:val="20"/>
                <w:szCs w:val="20"/>
              </w:rPr>
              <w:t xml:space="preserve">79,920</w:t>
            </w:r>
          </w:p>
        </w:tc>
        <w:tc>
          <w:tcPr>
            <w:tcW w:type="dxa" w:w="1450"/>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color w:val="000000"/>
                <w:sz w:val="20"/>
                <w:szCs w:val="20"/>
              </w:rPr>
              <w:t xml:space="preserve">87,490</w:t>
            </w:r>
          </w:p>
        </w:tc>
        <w:tc>
          <w:tcPr>
            <w:tcW w:type="dxa" w:w="1300"/>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color w:val="000000"/>
                <w:sz w:val="20"/>
                <w:szCs w:val="20"/>
              </w:rPr>
              <w:t xml:space="preserve">+9.5%</w:t>
            </w:r>
          </w:p>
        </w:tc>
        <w:tc>
          <w:tcPr>
            <w:tcW w:type="dxa" w:w="1600"/>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color w:val="000000"/>
                <w:sz w:val="20"/>
                <w:szCs w:val="20"/>
              </w:rPr>
              <w:t xml:space="preserve">14,850</w:t>
            </w:r>
          </w:p>
        </w:tc>
      </w:tr>
      <w:tr>
        <w:tc>
          <w:tcPr>
            <w:tcW w:type="dxa" w:w="3560"/>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color w:val="000000"/>
                <w:sz w:val="20"/>
                <w:szCs w:val="20"/>
              </w:rPr>
              <w:t xml:space="preserve">Computer and Mathematical</w:t>
            </w:r>
          </w:p>
        </w:tc>
        <w:tc>
          <w:tcPr>
            <w:tcW w:type="dxa" w:w="1450"/>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color w:val="000000"/>
                <w:sz w:val="20"/>
                <w:szCs w:val="20"/>
              </w:rPr>
              <w:t xml:space="preserve">79,590</w:t>
            </w:r>
          </w:p>
        </w:tc>
        <w:tc>
          <w:tcPr>
            <w:tcW w:type="dxa" w:w="1450"/>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color w:val="000000"/>
                <w:sz w:val="20"/>
                <w:szCs w:val="20"/>
              </w:rPr>
              <w:t xml:space="preserve">89,890</w:t>
            </w:r>
          </w:p>
        </w:tc>
        <w:tc>
          <w:tcPr>
            <w:tcW w:type="dxa" w:w="1300"/>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color w:val="000000"/>
                <w:sz w:val="20"/>
                <w:szCs w:val="20"/>
              </w:rPr>
              <w:t xml:space="preserve">+12.9%</w:t>
            </w:r>
          </w:p>
        </w:tc>
        <w:tc>
          <w:tcPr>
            <w:tcW w:type="dxa" w:w="1600"/>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color w:val="000000"/>
                <w:sz w:val="20"/>
                <w:szCs w:val="20"/>
              </w:rPr>
              <w:t xml:space="preserve">5,490</w:t>
            </w:r>
          </w:p>
        </w:tc>
      </w:tr>
      <w:tr>
        <w:tc>
          <w:tcPr>
            <w:tcW w:type="dxa" w:w="3560"/>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color w:val="000000"/>
                <w:sz w:val="20"/>
                <w:szCs w:val="20"/>
              </w:rPr>
              <w:t xml:space="preserve">Protective Service</w:t>
            </w:r>
          </w:p>
        </w:tc>
        <w:tc>
          <w:tcPr>
            <w:tcW w:type="dxa" w:w="1450"/>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color w:val="000000"/>
                <w:sz w:val="20"/>
                <w:szCs w:val="20"/>
              </w:rPr>
              <w:t xml:space="preserve">72,870</w:t>
            </w:r>
          </w:p>
        </w:tc>
        <w:tc>
          <w:tcPr>
            <w:tcW w:type="dxa" w:w="1450"/>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color w:val="000000"/>
                <w:sz w:val="20"/>
                <w:szCs w:val="20"/>
              </w:rPr>
              <w:t xml:space="preserve">79,840</w:t>
            </w:r>
          </w:p>
        </w:tc>
        <w:tc>
          <w:tcPr>
            <w:tcW w:type="dxa" w:w="1300"/>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color w:val="000000"/>
                <w:sz w:val="20"/>
                <w:szCs w:val="20"/>
              </w:rPr>
              <w:t xml:space="preserve">+9.6%</w:t>
            </w:r>
          </w:p>
        </w:tc>
        <w:tc>
          <w:tcPr>
            <w:tcW w:type="dxa" w:w="1600"/>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color w:val="000000"/>
                <w:sz w:val="20"/>
                <w:szCs w:val="20"/>
              </w:rPr>
              <w:t xml:space="preserve">8,850</w:t>
            </w:r>
          </w:p>
        </w:tc>
      </w:tr>
      <w:tr>
        <w:tc>
          <w:tcPr>
            <w:tcW w:type="dxa" w:w="3560"/>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color w:val="000000"/>
                <w:sz w:val="20"/>
                <w:szCs w:val="20"/>
              </w:rPr>
              <w:t xml:space="preserve">Community and Social Service</w:t>
            </w:r>
          </w:p>
        </w:tc>
        <w:tc>
          <w:tcPr>
            <w:tcW w:type="dxa" w:w="1450"/>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color w:val="000000"/>
                <w:sz w:val="20"/>
                <w:szCs w:val="20"/>
              </w:rPr>
              <w:t xml:space="preserve">65,220</w:t>
            </w:r>
          </w:p>
        </w:tc>
        <w:tc>
          <w:tcPr>
            <w:tcW w:type="dxa" w:w="1450"/>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color w:val="000000"/>
                <w:sz w:val="20"/>
                <w:szCs w:val="20"/>
              </w:rPr>
              <w:t xml:space="preserve">72,170</w:t>
            </w:r>
          </w:p>
        </w:tc>
        <w:tc>
          <w:tcPr>
            <w:tcW w:type="dxa" w:w="1300"/>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color w:val="000000"/>
                <w:sz w:val="20"/>
                <w:szCs w:val="20"/>
              </w:rPr>
              <w:t xml:space="preserve">+10.7%</w:t>
            </w:r>
          </w:p>
        </w:tc>
        <w:tc>
          <w:tcPr>
            <w:tcW w:type="dxa" w:w="1600"/>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color w:val="000000"/>
                <w:sz w:val="20"/>
                <w:szCs w:val="20"/>
              </w:rPr>
              <w:t xml:space="preserve">6,670</w:t>
            </w:r>
          </w:p>
        </w:tc>
      </w:tr>
      <w:tr>
        <w:tc>
          <w:tcPr>
            <w:tcW w:type="dxa" w:w="3560"/>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color w:val="000000"/>
                <w:sz w:val="20"/>
                <w:szCs w:val="20"/>
              </w:rPr>
              <w:t xml:space="preserve">Arts, Design, Entertainment, Sports, and Media</w:t>
            </w:r>
          </w:p>
        </w:tc>
        <w:tc>
          <w:tcPr>
            <w:tcW w:type="dxa" w:w="1450"/>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color w:val="000000"/>
                <w:sz w:val="20"/>
                <w:szCs w:val="20"/>
              </w:rPr>
              <w:t xml:space="preserve">55,400</w:t>
            </w:r>
          </w:p>
        </w:tc>
        <w:tc>
          <w:tcPr>
            <w:tcW w:type="dxa" w:w="1450"/>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color w:val="000000"/>
                <w:sz w:val="20"/>
                <w:szCs w:val="20"/>
              </w:rPr>
              <w:t xml:space="preserve">60,070</w:t>
            </w:r>
          </w:p>
        </w:tc>
        <w:tc>
          <w:tcPr>
            <w:tcW w:type="dxa" w:w="1300"/>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color w:val="000000"/>
                <w:sz w:val="20"/>
                <w:szCs w:val="20"/>
              </w:rPr>
              <w:t xml:space="preserve">+8.4%</w:t>
            </w:r>
          </w:p>
        </w:tc>
        <w:tc>
          <w:tcPr>
            <w:tcW w:type="dxa" w:w="1600"/>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color w:val="000000"/>
                <w:sz w:val="20"/>
                <w:szCs w:val="20"/>
              </w:rPr>
              <w:t xml:space="preserve">5,930</w:t>
            </w:r>
          </w:p>
        </w:tc>
      </w:tr>
      <w:tr>
        <w:tc>
          <w:tcPr>
            <w:tcW w:type="dxa" w:w="3560"/>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color w:val="000000"/>
                <w:sz w:val="20"/>
                <w:szCs w:val="20"/>
              </w:rPr>
              <w:t xml:space="preserve">Architecture and Engineering</w:t>
            </w:r>
          </w:p>
        </w:tc>
        <w:tc>
          <w:tcPr>
            <w:tcW w:type="dxa" w:w="1450"/>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color w:val="000000"/>
                <w:sz w:val="20"/>
                <w:szCs w:val="20"/>
              </w:rPr>
              <w:t xml:space="preserve">45,710</w:t>
            </w:r>
          </w:p>
        </w:tc>
        <w:tc>
          <w:tcPr>
            <w:tcW w:type="dxa" w:w="1450"/>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color w:val="000000"/>
                <w:sz w:val="20"/>
                <w:szCs w:val="20"/>
              </w:rPr>
              <w:t xml:space="preserve">50,050</w:t>
            </w:r>
          </w:p>
        </w:tc>
        <w:tc>
          <w:tcPr>
            <w:tcW w:type="dxa" w:w="1300"/>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color w:val="000000"/>
                <w:sz w:val="20"/>
                <w:szCs w:val="20"/>
              </w:rPr>
              <w:t xml:space="preserve">+9.5%</w:t>
            </w:r>
          </w:p>
        </w:tc>
        <w:tc>
          <w:tcPr>
            <w:tcW w:type="dxa" w:w="1600"/>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color w:val="000000"/>
                <w:sz w:val="20"/>
                <w:szCs w:val="20"/>
              </w:rPr>
              <w:t xml:space="preserve">3,650</w:t>
            </w:r>
          </w:p>
        </w:tc>
      </w:tr>
      <w:tr>
        <w:tc>
          <w:tcPr>
            <w:tcW w:type="dxa" w:w="3560"/>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color w:val="000000"/>
                <w:sz w:val="20"/>
                <w:szCs w:val="20"/>
              </w:rPr>
              <w:t xml:space="preserve">Farming, Fishing, and Forestry</w:t>
            </w:r>
          </w:p>
        </w:tc>
        <w:tc>
          <w:tcPr>
            <w:tcW w:type="dxa" w:w="1450"/>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color w:val="000000"/>
                <w:sz w:val="20"/>
                <w:szCs w:val="20"/>
              </w:rPr>
              <w:t xml:space="preserve">24,670</w:t>
            </w:r>
          </w:p>
        </w:tc>
        <w:tc>
          <w:tcPr>
            <w:tcW w:type="dxa" w:w="1450"/>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color w:val="000000"/>
                <w:sz w:val="20"/>
                <w:szCs w:val="20"/>
              </w:rPr>
              <w:t xml:space="preserve">24,120</w:t>
            </w:r>
          </w:p>
        </w:tc>
        <w:tc>
          <w:tcPr>
            <w:tcW w:type="dxa" w:w="1300"/>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color w:val="000000"/>
                <w:sz w:val="20"/>
                <w:szCs w:val="20"/>
              </w:rPr>
              <w:t xml:space="preserve">-2.2%</w:t>
            </w:r>
          </w:p>
        </w:tc>
        <w:tc>
          <w:tcPr>
            <w:tcW w:type="dxa" w:w="1600"/>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color w:val="000000"/>
                <w:sz w:val="20"/>
                <w:szCs w:val="20"/>
              </w:rPr>
              <w:t xml:space="preserve">3,510</w:t>
            </w:r>
          </w:p>
        </w:tc>
      </w:tr>
      <w:tr>
        <w:tc>
          <w:tcPr>
            <w:tcW w:type="dxa" w:w="3560"/>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color w:val="000000"/>
                <w:sz w:val="20"/>
                <w:szCs w:val="20"/>
              </w:rPr>
              <w:t xml:space="preserve">Life, Physical, and Social Science</w:t>
            </w:r>
          </w:p>
        </w:tc>
        <w:tc>
          <w:tcPr>
            <w:tcW w:type="dxa" w:w="1450"/>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color w:val="000000"/>
                <w:sz w:val="20"/>
                <w:szCs w:val="20"/>
              </w:rPr>
              <w:t xml:space="preserve">24,540</w:t>
            </w:r>
          </w:p>
        </w:tc>
        <w:tc>
          <w:tcPr>
            <w:tcW w:type="dxa" w:w="1450"/>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color w:val="000000"/>
                <w:sz w:val="20"/>
                <w:szCs w:val="20"/>
              </w:rPr>
              <w:t xml:space="preserve">26,670</w:t>
            </w:r>
          </w:p>
        </w:tc>
        <w:tc>
          <w:tcPr>
            <w:tcW w:type="dxa" w:w="1300"/>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color w:val="000000"/>
                <w:sz w:val="20"/>
                <w:szCs w:val="20"/>
              </w:rPr>
              <w:t xml:space="preserve">+8.7%</w:t>
            </w:r>
          </w:p>
        </w:tc>
        <w:tc>
          <w:tcPr>
            <w:tcW w:type="dxa" w:w="1600"/>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color w:val="000000"/>
                <w:sz w:val="20"/>
                <w:szCs w:val="20"/>
              </w:rPr>
              <w:t xml:space="preserve">2,220</w:t>
            </w:r>
          </w:p>
        </w:tc>
      </w:tr>
      <w:tr>
        <w:tc>
          <w:tcPr>
            <w:tcW w:type="dxa" w:w="3560"/>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color w:val="000000"/>
                <w:sz w:val="20"/>
                <w:szCs w:val="20"/>
              </w:rPr>
              <w:t xml:space="preserve">Legal</w:t>
            </w:r>
          </w:p>
        </w:tc>
        <w:tc>
          <w:tcPr>
            <w:tcW w:type="dxa" w:w="1450"/>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color w:val="000000"/>
                <w:sz w:val="20"/>
                <w:szCs w:val="20"/>
              </w:rPr>
              <w:t xml:space="preserve">19,360</w:t>
            </w:r>
          </w:p>
        </w:tc>
        <w:tc>
          <w:tcPr>
            <w:tcW w:type="dxa" w:w="1450"/>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color w:val="000000"/>
                <w:sz w:val="20"/>
                <w:szCs w:val="20"/>
              </w:rPr>
              <w:t xml:space="preserve">20,560</w:t>
            </w:r>
          </w:p>
        </w:tc>
        <w:tc>
          <w:tcPr>
            <w:tcW w:type="dxa" w:w="1300"/>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color w:val="000000"/>
                <w:sz w:val="20"/>
                <w:szCs w:val="20"/>
              </w:rPr>
              <w:t xml:space="preserve">+6.2%</w:t>
            </w:r>
          </w:p>
        </w:tc>
        <w:tc>
          <w:tcPr>
            <w:tcW w:type="dxa" w:w="1600"/>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color w:val="000000"/>
                <w:sz w:val="20"/>
                <w:szCs w:val="20"/>
              </w:rPr>
              <w:t xml:space="preserve">1,290</w:t>
            </w:r>
          </w:p>
        </w:tc>
      </w:tr>
      <w:tr>
        <w:tc>
          <w:tcPr>
            <w:tcW w:type="dxa" w:w="3560"/>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color w:val="000000"/>
                <w:sz w:val="20"/>
                <w:szCs w:val="20"/>
              </w:rPr>
              <w:t xml:space="preserve">Total, all occupations</w:t>
            </w:r>
          </w:p>
        </w:tc>
        <w:tc>
          <w:tcPr>
            <w:tcW w:type="dxa" w:w="1450"/>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color w:val="000000"/>
                <w:sz w:val="20"/>
                <w:szCs w:val="20"/>
              </w:rPr>
              <w:t xml:space="preserve">3,577,180</w:t>
            </w:r>
          </w:p>
        </w:tc>
        <w:tc>
          <w:tcPr>
            <w:tcW w:type="dxa" w:w="1450"/>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color w:val="000000"/>
                <w:sz w:val="20"/>
                <w:szCs w:val="20"/>
              </w:rPr>
              <w:t xml:space="preserve">3,874,620</w:t>
            </w:r>
          </w:p>
        </w:tc>
        <w:tc>
          <w:tcPr>
            <w:tcW w:type="dxa" w:w="1300"/>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color w:val="000000"/>
                <w:sz w:val="20"/>
                <w:szCs w:val="20"/>
              </w:rPr>
              <w:t xml:space="preserve">+8.3%</w:t>
            </w:r>
          </w:p>
        </w:tc>
        <w:tc>
          <w:tcPr>
            <w:tcW w:type="dxa" w:w="1600"/>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color w:val="000000"/>
                <w:sz w:val="20"/>
                <w:szCs w:val="20"/>
              </w:rPr>
              <w:t xml:space="preserve">427,410</w:t>
            </w:r>
          </w:p>
        </w:tc>
      </w:tr>
    </w:tbl>
    <w:p>
      <w:pPr>
        <w:spacing w:before="40"/>
      </w:pPr>
      <w:r>
        <w:rPr>
          <w:rFonts w:ascii="Times New Roman" w:cs="Times New Roman" w:eastAsia="Times New Roman" w:hAnsi="Times New Roman"/>
          <w:color w:val="000000"/>
          <w:sz w:val="20"/>
          <w:szCs w:val="20"/>
        </w:rPr>
        <w:t xml:space="preserve">Source: Projections Central (Projections Managing Partnership, sponsored by the U.S. Department of Labor), Tennessee long-term occupational projections 2024–2034; major groups are sums of the published detailed occupations.</w:t>
      </w:r>
    </w:p>
    <w:p>
      <w:pPr>
        <w:spacing w:before="160"/>
      </w:pPr>
    </w:p>
    <w:tbl>
      <w:tblPr>
        <w:tblW w:type="dxa" w:w="9302"/>
        <w:jc w:val="center"/>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100"/>
        <w:gridCol w:w="1800"/>
        <w:gridCol w:w="1500"/>
        <w:gridCol w:w="1500"/>
        <w:gridCol w:w="1402"/>
      </w:tblGrid>
      <w:tr>
        <w:tc>
          <w:tcPr>
            <w:tcW w:type="dxa" w:w="9302"/>
            <w:gridSpan w:val="5"/>
            <w:tcBorders>
              <w:top w:val="single" w:color="1A305B" w:sz="1"/>
              <w:left w:val="single" w:color="1A305B" w:sz="1"/>
              <w:bottom w:val="single" w:color="1A305B" w:sz="1"/>
              <w:right w:val="single" w:color="1A305B" w:sz="1"/>
            </w:tcBorders>
            <w:shd w:fill="1A305B" w:color="auto" w:val="clear"/>
            <w:tcMar>
              <w:top w:type="dxa" w:w="61"/>
              <w:left w:type="dxa" w:w="100"/>
              <w:bottom w:type="dxa" w:w="61"/>
              <w:right w:type="dxa" w:w="100"/>
            </w:tcMar>
          </w:tcPr>
          <w:p>
            <w:pPr>
              <w:jc w:val="center"/>
            </w:pPr>
            <w:r>
              <w:rPr>
                <w:rFonts w:ascii="Times New Roman" w:cs="Times New Roman" w:eastAsia="Times New Roman" w:hAnsi="Times New Roman"/>
                <w:b/>
                <w:bCs/>
                <w:color w:val="FFFFFF"/>
                <w:sz w:val="20"/>
                <w:szCs w:val="20"/>
              </w:rPr>
              <w:t xml:space="preserve">WARN Notices — Hamilton County, TN</w:t>
            </w:r>
          </w:p>
        </w:tc>
      </w:tr>
      <w:tr>
        <w:tc>
          <w:tcPr>
            <w:tcW w:type="dxa" w:w="3100"/>
            <w:tcBorders>
              <w:top w:val="single" w:color="1A305B" w:sz="1"/>
              <w:left w:val="single" w:color="1A305B" w:sz="1"/>
              <w:bottom w:val="single" w:color="1A305B" w:sz="1"/>
              <w:right w:val="single" w:color="1A305B" w:sz="1"/>
            </w:tcBorders>
            <w:shd w:fill="FFFFFF" w:color="auto" w:val="clear"/>
            <w:tcMar>
              <w:top w:type="dxa" w:w="61"/>
              <w:left w:type="dxa" w:w="100"/>
              <w:bottom w:type="dxa" w:w="61"/>
              <w:right w:type="dxa" w:w="100"/>
            </w:tcMar>
          </w:tcPr>
          <w:p>
            <w:pPr>
              <w:jc w:val="center"/>
            </w:pPr>
            <w:r>
              <w:rPr>
                <w:rFonts w:ascii="Times New Roman" w:cs="Times New Roman" w:eastAsia="Times New Roman" w:hAnsi="Times New Roman"/>
                <w:b/>
                <w:bCs/>
                <w:color w:val="000000"/>
                <w:sz w:val="20"/>
                <w:szCs w:val="20"/>
              </w:rPr>
              <w:t xml:space="preserve">Employer</w:t>
            </w:r>
          </w:p>
        </w:tc>
        <w:tc>
          <w:tcPr>
            <w:tcW w:type="dxa" w:w="1800"/>
            <w:tcBorders>
              <w:top w:val="single" w:color="1A305B" w:sz="1"/>
              <w:left w:val="single" w:color="1A305B" w:sz="1"/>
              <w:bottom w:val="single" w:color="1A305B" w:sz="1"/>
              <w:right w:val="single" w:color="1A305B" w:sz="1"/>
            </w:tcBorders>
            <w:shd w:fill="FFFFFF" w:color="auto" w:val="clear"/>
            <w:tcMar>
              <w:top w:type="dxa" w:w="61"/>
              <w:left w:type="dxa" w:w="100"/>
              <w:bottom w:type="dxa" w:w="61"/>
              <w:right w:type="dxa" w:w="100"/>
            </w:tcMar>
          </w:tcPr>
          <w:p>
            <w:pPr>
              <w:jc w:val="center"/>
            </w:pPr>
            <w:r>
              <w:rPr>
                <w:rFonts w:ascii="Times New Roman" w:cs="Times New Roman" w:eastAsia="Times New Roman" w:hAnsi="Times New Roman"/>
                <w:b/>
                <w:bCs/>
                <w:color w:val="000000"/>
                <w:sz w:val="20"/>
                <w:szCs w:val="20"/>
              </w:rPr>
              <w:t xml:space="preserve">Location</w:t>
            </w:r>
          </w:p>
        </w:tc>
        <w:tc>
          <w:tcPr>
            <w:tcW w:type="dxa" w:w="1500"/>
            <w:tcBorders>
              <w:top w:val="single" w:color="1A305B" w:sz="1"/>
              <w:left w:val="single" w:color="1A305B" w:sz="1"/>
              <w:bottom w:val="single" w:color="1A305B" w:sz="1"/>
              <w:right w:val="single" w:color="1A305B" w:sz="1"/>
            </w:tcBorders>
            <w:shd w:fill="FFFFFF" w:color="auto" w:val="clear"/>
            <w:tcMar>
              <w:top w:type="dxa" w:w="61"/>
              <w:left w:type="dxa" w:w="100"/>
              <w:bottom w:type="dxa" w:w="61"/>
              <w:right w:type="dxa" w:w="100"/>
            </w:tcMar>
          </w:tcPr>
          <w:p>
            <w:pPr>
              <w:jc w:val="center"/>
            </w:pPr>
            <w:r>
              <w:rPr>
                <w:rFonts w:ascii="Times New Roman" w:cs="Times New Roman" w:eastAsia="Times New Roman" w:hAnsi="Times New Roman"/>
                <w:b/>
                <w:bCs/>
                <w:color w:val="000000"/>
                <w:sz w:val="20"/>
                <w:szCs w:val="20"/>
              </w:rPr>
              <w:t xml:space="preserve">Notice Date</w:t>
            </w:r>
          </w:p>
        </w:tc>
        <w:tc>
          <w:tcPr>
            <w:tcW w:type="dxa" w:w="1500"/>
            <w:tcBorders>
              <w:top w:val="single" w:color="1A305B" w:sz="1"/>
              <w:left w:val="single" w:color="1A305B" w:sz="1"/>
              <w:bottom w:val="single" w:color="1A305B" w:sz="1"/>
              <w:right w:val="single" w:color="1A305B" w:sz="1"/>
            </w:tcBorders>
            <w:shd w:fill="FFFFFF" w:color="auto" w:val="clear"/>
            <w:tcMar>
              <w:top w:type="dxa" w:w="61"/>
              <w:left w:type="dxa" w:w="100"/>
              <w:bottom w:type="dxa" w:w="61"/>
              <w:right w:type="dxa" w:w="100"/>
            </w:tcMar>
          </w:tcPr>
          <w:p>
            <w:pPr>
              <w:jc w:val="center"/>
            </w:pPr>
            <w:r>
              <w:rPr>
                <w:rFonts w:ascii="Times New Roman" w:cs="Times New Roman" w:eastAsia="Times New Roman" w:hAnsi="Times New Roman"/>
                <w:b/>
                <w:bCs/>
                <w:color w:val="000000"/>
                <w:sz w:val="20"/>
                <w:szCs w:val="20"/>
              </w:rPr>
              <w:t xml:space="preserve">Employees Affected</w:t>
            </w:r>
          </w:p>
        </w:tc>
        <w:tc>
          <w:tcPr>
            <w:tcW w:type="dxa" w:w="1402"/>
            <w:tcBorders>
              <w:top w:val="single" w:color="1A305B" w:sz="1"/>
              <w:left w:val="single" w:color="1A305B" w:sz="1"/>
              <w:bottom w:val="single" w:color="1A305B" w:sz="1"/>
              <w:right w:val="single" w:color="1A305B" w:sz="1"/>
            </w:tcBorders>
            <w:shd w:fill="FFFFFF" w:color="auto" w:val="clear"/>
            <w:tcMar>
              <w:top w:type="dxa" w:w="61"/>
              <w:left w:type="dxa" w:w="100"/>
              <w:bottom w:type="dxa" w:w="61"/>
              <w:right w:type="dxa" w:w="100"/>
            </w:tcMar>
          </w:tcPr>
          <w:p>
            <w:pPr>
              <w:jc w:val="center"/>
            </w:pPr>
            <w:r>
              <w:rPr>
                <w:rFonts w:ascii="Times New Roman" w:cs="Times New Roman" w:eastAsia="Times New Roman" w:hAnsi="Times New Roman"/>
                <w:b/>
                <w:bCs/>
                <w:color w:val="000000"/>
                <w:sz w:val="20"/>
                <w:szCs w:val="20"/>
              </w:rPr>
              <w:t xml:space="preserve">Type</w:t>
            </w:r>
          </w:p>
        </w:tc>
      </w:tr>
      <w:tr>
        <w:tc>
          <w:tcPr>
            <w:tcW w:type="dxa" w:w="3100"/>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color w:val="000000"/>
                <w:sz w:val="20"/>
                <w:szCs w:val="20"/>
              </w:rPr>
              <w:t xml:space="preserve">Pilgrim's Pride Corporation</w:t>
            </w:r>
          </w:p>
        </w:tc>
        <w:tc>
          <w:tcPr>
            <w:tcW w:type="dxa" w:w="1800"/>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color w:val="000000"/>
                <w:sz w:val="20"/>
                <w:szCs w:val="20"/>
              </w:rPr>
              <w:t xml:space="preserve">Hamilton County</w:t>
            </w:r>
          </w:p>
        </w:tc>
        <w:tc>
          <w:tcPr>
            <w:tcW w:type="dxa" w:w="1500"/>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color w:val="000000"/>
                <w:sz w:val="20"/>
                <w:szCs w:val="20"/>
              </w:rPr>
              <w:t xml:space="preserve">2026-06-16</w:t>
            </w:r>
          </w:p>
        </w:tc>
        <w:tc>
          <w:tcPr>
            <w:tcW w:type="dxa" w:w="1500"/>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color w:val="000000"/>
                <w:sz w:val="20"/>
                <w:szCs w:val="20"/>
              </w:rPr>
              <w:t xml:space="preserve">315</w:t>
            </w:r>
          </w:p>
        </w:tc>
        <w:tc>
          <w:tcPr>
            <w:tcW w:type="dxa" w:w="1402"/>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color w:val="000000"/>
                <w:sz w:val="20"/>
                <w:szCs w:val="20"/>
              </w:rPr>
              <w:t xml:space="preserve"/>
            </w:r>
          </w:p>
        </w:tc>
      </w:tr>
      <w:tr>
        <w:tc>
          <w:tcPr>
            <w:tcW w:type="dxa" w:w="3100"/>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color w:val="000000"/>
                <w:sz w:val="20"/>
                <w:szCs w:val="20"/>
              </w:rPr>
              <w:t xml:space="preserve">Shimmick Construction Company, Inc.</w:t>
            </w:r>
          </w:p>
        </w:tc>
        <w:tc>
          <w:tcPr>
            <w:tcW w:type="dxa" w:w="1800"/>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color w:val="000000"/>
                <w:sz w:val="20"/>
                <w:szCs w:val="20"/>
              </w:rPr>
              <w:t xml:space="preserve">Hamilton County</w:t>
            </w:r>
          </w:p>
        </w:tc>
        <w:tc>
          <w:tcPr>
            <w:tcW w:type="dxa" w:w="1500"/>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color w:val="000000"/>
                <w:sz w:val="20"/>
                <w:szCs w:val="20"/>
              </w:rPr>
              <w:t xml:space="preserve">2026-05-26</w:t>
            </w:r>
          </w:p>
        </w:tc>
        <w:tc>
          <w:tcPr>
            <w:tcW w:type="dxa" w:w="1500"/>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color w:val="000000"/>
                <w:sz w:val="20"/>
                <w:szCs w:val="20"/>
              </w:rPr>
              <w:t xml:space="preserve">183</w:t>
            </w:r>
          </w:p>
        </w:tc>
        <w:tc>
          <w:tcPr>
            <w:tcW w:type="dxa" w:w="1402"/>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color w:val="000000"/>
                <w:sz w:val="20"/>
                <w:szCs w:val="20"/>
              </w:rPr>
              <w:t xml:space="preserve"/>
            </w:r>
          </w:p>
        </w:tc>
      </w:tr>
      <w:tr>
        <w:tc>
          <w:tcPr>
            <w:tcW w:type="dxa" w:w="3100"/>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color w:val="000000"/>
                <w:sz w:val="20"/>
                <w:szCs w:val="20"/>
              </w:rPr>
              <w:t xml:space="preserve">Yanfeng International Automotive Technology US I LLC</w:t>
            </w:r>
          </w:p>
        </w:tc>
        <w:tc>
          <w:tcPr>
            <w:tcW w:type="dxa" w:w="1800"/>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color w:val="000000"/>
                <w:sz w:val="20"/>
                <w:szCs w:val="20"/>
              </w:rPr>
              <w:t xml:space="preserve">Hamilton County</w:t>
            </w:r>
          </w:p>
        </w:tc>
        <w:tc>
          <w:tcPr>
            <w:tcW w:type="dxa" w:w="1500"/>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color w:val="000000"/>
                <w:sz w:val="20"/>
                <w:szCs w:val="20"/>
              </w:rPr>
              <w:t xml:space="preserve">2026-04-29</w:t>
            </w:r>
          </w:p>
        </w:tc>
        <w:tc>
          <w:tcPr>
            <w:tcW w:type="dxa" w:w="1500"/>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color w:val="000000"/>
                <w:sz w:val="20"/>
                <w:szCs w:val="20"/>
              </w:rPr>
              <w:t xml:space="preserve">153</w:t>
            </w:r>
          </w:p>
        </w:tc>
        <w:tc>
          <w:tcPr>
            <w:tcW w:type="dxa" w:w="1402"/>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color w:val="000000"/>
                <w:sz w:val="20"/>
                <w:szCs w:val="20"/>
              </w:rPr>
              <w:t xml:space="preserve"/>
            </w:r>
          </w:p>
        </w:tc>
      </w:tr>
      <w:tr>
        <w:tc>
          <w:tcPr>
            <w:tcW w:type="dxa" w:w="3100"/>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color w:val="000000"/>
                <w:sz w:val="20"/>
                <w:szCs w:val="20"/>
              </w:rPr>
              <w:t xml:space="preserve">T-Mobile USA, Inc.</w:t>
            </w:r>
          </w:p>
        </w:tc>
        <w:tc>
          <w:tcPr>
            <w:tcW w:type="dxa" w:w="1800"/>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color w:val="000000"/>
                <w:sz w:val="20"/>
                <w:szCs w:val="20"/>
              </w:rPr>
              <w:t xml:space="preserve">Hamilton County</w:t>
            </w:r>
          </w:p>
        </w:tc>
        <w:tc>
          <w:tcPr>
            <w:tcW w:type="dxa" w:w="1500"/>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color w:val="000000"/>
                <w:sz w:val="20"/>
                <w:szCs w:val="20"/>
              </w:rPr>
              <w:t xml:space="preserve">2026-04-16</w:t>
            </w:r>
          </w:p>
        </w:tc>
        <w:tc>
          <w:tcPr>
            <w:tcW w:type="dxa" w:w="1500"/>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color w:val="000000"/>
                <w:sz w:val="20"/>
                <w:szCs w:val="20"/>
              </w:rPr>
              <w:t xml:space="preserve">200</w:t>
            </w:r>
          </w:p>
        </w:tc>
        <w:tc>
          <w:tcPr>
            <w:tcW w:type="dxa" w:w="1402"/>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color w:val="000000"/>
                <w:sz w:val="20"/>
                <w:szCs w:val="20"/>
              </w:rPr>
              <w:t xml:space="preserve"/>
            </w:r>
          </w:p>
        </w:tc>
      </w:tr>
      <w:tr>
        <w:tc>
          <w:tcPr>
            <w:tcW w:type="dxa" w:w="3100"/>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color w:val="000000"/>
                <w:sz w:val="20"/>
                <w:szCs w:val="20"/>
              </w:rPr>
              <w:t xml:space="preserve">All Heart Pediatric Cardiology</w:t>
            </w:r>
          </w:p>
        </w:tc>
        <w:tc>
          <w:tcPr>
            <w:tcW w:type="dxa" w:w="1800"/>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color w:val="000000"/>
                <w:sz w:val="20"/>
                <w:szCs w:val="20"/>
              </w:rPr>
              <w:t xml:space="preserve">Hamilton County</w:t>
            </w:r>
          </w:p>
        </w:tc>
        <w:tc>
          <w:tcPr>
            <w:tcW w:type="dxa" w:w="1500"/>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color w:val="000000"/>
                <w:sz w:val="20"/>
                <w:szCs w:val="20"/>
              </w:rPr>
              <w:t xml:space="preserve">2026-03-05</w:t>
            </w:r>
          </w:p>
        </w:tc>
        <w:tc>
          <w:tcPr>
            <w:tcW w:type="dxa" w:w="1500"/>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color w:val="000000"/>
                <w:sz w:val="20"/>
                <w:szCs w:val="20"/>
              </w:rPr>
              <w:t xml:space="preserve">1</w:t>
            </w:r>
          </w:p>
        </w:tc>
        <w:tc>
          <w:tcPr>
            <w:tcW w:type="dxa" w:w="1402"/>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color w:val="000000"/>
                <w:sz w:val="20"/>
                <w:szCs w:val="20"/>
              </w:rPr>
              <w:t xml:space="preserve"/>
            </w:r>
          </w:p>
        </w:tc>
      </w:tr>
    </w:tbl>
    <w:p>
      <w:pPr>
        <w:spacing w:before="40"/>
      </w:pPr>
      <w:r>
        <w:rPr>
          <w:rFonts w:ascii="Times New Roman" w:cs="Times New Roman" w:eastAsia="Times New Roman" w:hAnsi="Times New Roman"/>
          <w:color w:val="000000"/>
          <w:sz w:val="20"/>
          <w:szCs w:val="20"/>
        </w:rPr>
        <w:t xml:space="preserve">Source: State WARN notices (Tennessee DLWD — WARN and closure/layoff reports), https://www.tn.gov/workforce/general-resources/major-publications0/major-publications-redirect/reports.html; analyst-verified; notice links on file</w:t>
      </w:r>
    </w:p>
    <w:p>
      <w:pPr>
        <w:spacing w:after="120" w:before="120"/>
        <w:jc w:val="both"/>
      </w:pPr>
      <w:r>
        <w:rPr>
          <w:rFonts w:ascii="Times New Roman" w:cs="Times New Roman" w:eastAsia="Times New Roman" w:hAnsi="Times New Roman"/>
          <w:color w:val="000000"/>
          <w:sz w:val="24"/>
          <w:szCs w:val="24"/>
        </w:rPr>
        <w:t xml:space="preserve">At-place employment in Hamilton County totaled 219,580 in 2025, an increase of 11.6 percent since 2016 (peak of 221,207 in 2024). The largest sectors are education and health services (22.0 percent), trade, transportation, and utilities (20.8 percent), manufacturing (12.8 percent). The Chattanooga, TN unemployment rate was 3.8 percent in Aug 2026, compared with 3.7 percent for TN and 4.3 percent nationally. Tennessee projects total employment to grow 8.3 percent from 2024 to 2034 (3,577,180 to 3,874,620), with 427,410 average annual openings.</w:t>
      </w:r>
    </w:p>
    <w:p>
      <w:r>
        <w:br w:type="page"/>
      </w:r>
    </w:p>
    <w:p>
      <w:pPr>
        <w:pStyle w:val="Heading1"/>
        <w:spacing w:after="0" w:before="0"/>
      </w:pPr>
      <w:r>
        <w:rPr>
          <w:rFonts w:ascii="Times New Roman" w:cs="Times New Roman" w:eastAsia="Times New Roman" w:hAnsi="Times New Roman"/>
          <w:b/>
          <w:bCs/>
          <w:i w:val="false"/>
          <w:iCs w:val="false"/>
          <w:color w:val="000000"/>
          <w:sz w:val="24"/>
          <w:szCs w:val="24"/>
        </w:rPr>
        <w:t xml:space="preserve">Workforce and Unemployment Trends</w:t>
      </w:r>
    </w:p>
    <w:p>
      <w:pPr>
        <w:spacing w:after="120"/>
        <w:jc w:val="both"/>
      </w:pPr>
      <w:r>
        <w:rPr>
          <w:rFonts w:ascii="Times New Roman" w:cs="Times New Roman" w:eastAsia="Times New Roman" w:hAnsi="Times New Roman"/>
          <w:color w:val="000000"/>
          <w:sz w:val="24"/>
          <w:szCs w:val="24"/>
        </w:rPr>
        <w:t xml:space="preserve">The table below illustrates the workforce and unemployment trends for the city of Chattanooga and Hamilton County.</w:t>
      </w:r>
    </w:p>
    <w:tbl>
      <w:tblPr>
        <w:tblW w:type="dxa" w:w="9360"/>
        <w:jc w:val="center"/>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60"/>
        <w:gridCol w:w="1075"/>
        <w:gridCol w:w="1075"/>
        <w:gridCol w:w="1075"/>
        <w:gridCol w:w="1075"/>
        <w:gridCol w:w="1075"/>
        <w:gridCol w:w="1075"/>
        <w:gridCol w:w="1075"/>
        <w:gridCol w:w="1075"/>
      </w:tblGrid>
      <w:tr>
        <w:tc>
          <w:tcPr>
            <w:tcW w:type="dxa" w:w="9360"/>
            <w:gridSpan w:val="9"/>
            <w:tcBorders>
              <w:top w:val="single" w:color="1A305B" w:sz="1"/>
              <w:left w:val="single" w:color="1A305B" w:sz="1"/>
              <w:bottom w:val="single" w:color="1A305B" w:sz="1"/>
              <w:right w:val="single" w:color="1A305B" w:sz="1"/>
            </w:tcBorders>
            <w:shd w:fill="1A305B" w:color="auto" w:val="clear"/>
            <w:tcMar>
              <w:top w:type="dxa" w:w="61"/>
              <w:left w:type="dxa" w:w="100"/>
              <w:bottom w:type="dxa" w:w="61"/>
              <w:right w:type="dxa" w:w="100"/>
            </w:tcMar>
          </w:tcPr>
          <w:p>
            <w:pPr>
              <w:jc w:val="center"/>
            </w:pPr>
            <w:r>
              <w:rPr>
                <w:rFonts w:ascii="Times New Roman" w:cs="Times New Roman" w:eastAsia="Times New Roman" w:hAnsi="Times New Roman"/>
                <w:b/>
                <w:bCs/>
                <w:color w:val="FFFFFF"/>
                <w:sz w:val="20"/>
                <w:szCs w:val="20"/>
              </w:rPr>
              <w:t xml:space="preserve">Unemployment Trends - 2015 - 2026 YTD</w:t>
            </w:r>
          </w:p>
        </w:tc>
      </w:tr>
      <w:tr>
        <w:tc>
          <w:tcPr>
            <w:tcW w:type="dxa" w:w="760"/>
            <w:tcBorders>
              <w:top w:val="single" w:color="1A305B" w:sz="1"/>
              <w:left w:val="single" w:color="1A305B" w:sz="1"/>
              <w:bottom w:val="single" w:color="1A305B" w:sz="1"/>
              <w:right w:val="single" w:color="1A305B" w:sz="1"/>
            </w:tcBorders>
            <w:shd w:fill="FFFFFF" w:color="auto" w:val="clear"/>
            <w:tcMar>
              <w:top w:type="dxa" w:w="61"/>
              <w:left w:type="dxa" w:w="100"/>
              <w:bottom w:type="dxa" w:w="61"/>
              <w:right w:type="dxa" w:w="100"/>
            </w:tcMar>
          </w:tcPr>
          <w:p>
            <w:pPr>
              <w:jc w:val="center"/>
            </w:pPr>
          </w:p>
        </w:tc>
        <w:tc>
          <w:tcPr>
            <w:tcW w:type="dxa" w:w="4300"/>
            <w:gridSpan w:val="4"/>
            <w:tcBorders>
              <w:top w:val="single" w:color="1A305B" w:sz="1"/>
              <w:left w:val="single" w:color="1A305B" w:sz="1"/>
              <w:bottom w:val="single" w:color="1A305B" w:sz="1"/>
              <w:right w:val="single" w:color="1A305B" w:sz="1"/>
            </w:tcBorders>
            <w:shd w:fill="FFFFFF" w:color="auto" w:val="clear"/>
            <w:tcMar>
              <w:top w:type="dxa" w:w="61"/>
              <w:left w:type="dxa" w:w="100"/>
              <w:bottom w:type="dxa" w:w="61"/>
              <w:right w:type="dxa" w:w="100"/>
            </w:tcMar>
          </w:tcPr>
          <w:p>
            <w:pPr>
              <w:jc w:val="center"/>
            </w:pPr>
            <w:r>
              <w:rPr>
                <w:rFonts w:ascii="Times New Roman" w:cs="Times New Roman" w:eastAsia="Times New Roman" w:hAnsi="Times New Roman"/>
                <w:b/>
                <w:bCs/>
                <w:color w:val="000000"/>
                <w:sz w:val="20"/>
                <w:szCs w:val="20"/>
              </w:rPr>
              <w:t xml:space="preserve">Chattanooga, TN</w:t>
            </w:r>
          </w:p>
        </w:tc>
        <w:tc>
          <w:tcPr>
            <w:tcW w:type="dxa" w:w="4300"/>
            <w:gridSpan w:val="4"/>
            <w:tcBorders>
              <w:top w:val="single" w:color="1A305B" w:sz="1"/>
              <w:left w:val="single" w:color="1A305B" w:sz="1"/>
              <w:bottom w:val="single" w:color="1A305B" w:sz="1"/>
              <w:right w:val="single" w:color="1A305B" w:sz="1"/>
            </w:tcBorders>
            <w:shd w:fill="FFFFFF" w:color="auto" w:val="clear"/>
            <w:tcMar>
              <w:top w:type="dxa" w:w="61"/>
              <w:left w:type="dxa" w:w="100"/>
              <w:bottom w:type="dxa" w:w="61"/>
              <w:right w:type="dxa" w:w="100"/>
            </w:tcMar>
          </w:tcPr>
          <w:p>
            <w:pPr>
              <w:jc w:val="center"/>
            </w:pPr>
            <w:r>
              <w:rPr>
                <w:rFonts w:ascii="Times New Roman" w:cs="Times New Roman" w:eastAsia="Times New Roman" w:hAnsi="Times New Roman"/>
                <w:b/>
                <w:bCs/>
                <w:color w:val="000000"/>
                <w:sz w:val="20"/>
                <w:szCs w:val="20"/>
              </w:rPr>
              <w:t xml:space="preserve">Hamilton County, TN</w:t>
            </w:r>
          </w:p>
        </w:tc>
      </w:tr>
      <w:tr>
        <w:tc>
          <w:tcPr>
            <w:tcW w:type="dxa" w:w="760"/>
            <w:tcBorders>
              <w:top w:val="single" w:color="1A305B" w:sz="1"/>
              <w:left w:val="single" w:color="1A305B" w:sz="1"/>
              <w:bottom w:val="single" w:color="1A305B" w:sz="1"/>
              <w:right w:val="single" w:color="1A305B" w:sz="1"/>
            </w:tcBorders>
            <w:shd w:fill="FFFFFF" w:color="auto" w:val="clear"/>
            <w:tcMar>
              <w:top w:type="dxa" w:w="61"/>
              <w:left w:type="dxa" w:w="100"/>
              <w:bottom w:type="dxa" w:w="61"/>
              <w:right w:type="dxa" w:w="100"/>
            </w:tcMar>
          </w:tcPr>
          <w:p>
            <w:pPr>
              <w:jc w:val="center"/>
            </w:pPr>
            <w:r>
              <w:rPr>
                <w:rFonts w:ascii="Times New Roman" w:cs="Times New Roman" w:eastAsia="Times New Roman" w:hAnsi="Times New Roman"/>
                <w:b/>
                <w:bCs/>
                <w:color w:val="000000"/>
                <w:sz w:val="20"/>
                <w:szCs w:val="20"/>
              </w:rPr>
              <w:t xml:space="preserve">Year</w:t>
            </w:r>
          </w:p>
        </w:tc>
        <w:tc>
          <w:tcPr>
            <w:tcW w:type="dxa" w:w="1075"/>
            <w:tcBorders>
              <w:top w:val="single" w:color="1A305B" w:sz="1"/>
              <w:left w:val="single" w:color="1A305B" w:sz="1"/>
              <w:bottom w:val="single" w:color="1A305B" w:sz="1"/>
              <w:right w:val="single" w:color="1A305B" w:sz="1"/>
            </w:tcBorders>
            <w:shd w:fill="FFFFFF" w:color="auto" w:val="clear"/>
            <w:tcMar>
              <w:top w:type="dxa" w:w="61"/>
              <w:left w:type="dxa" w:w="100"/>
              <w:bottom w:type="dxa" w:w="61"/>
              <w:right w:type="dxa" w:w="100"/>
            </w:tcMar>
          </w:tcPr>
          <w:p>
            <w:pPr>
              <w:jc w:val="center"/>
            </w:pPr>
            <w:r>
              <w:rPr>
                <w:rFonts w:ascii="Times New Roman" w:cs="Times New Roman" w:eastAsia="Times New Roman" w:hAnsi="Times New Roman"/>
                <w:b/>
                <w:bCs/>
                <w:color w:val="000000"/>
                <w:sz w:val="20"/>
                <w:szCs w:val="20"/>
              </w:rPr>
              <w:t xml:space="preserve">Total Labor</w:t>
            </w:r>
            <w:r>
              <w:rPr>
                <w:rFonts w:ascii="Times New Roman" w:cs="Times New Roman" w:eastAsia="Times New Roman" w:hAnsi="Times New Roman"/>
                <w:b/>
                <w:bCs/>
                <w:color w:val="000000"/>
                <w:sz w:val="20"/>
                <w:szCs w:val="20"/>
              </w:rPr>
              <w:br/>
              <w:t xml:space="preserve">Force</w:t>
            </w:r>
          </w:p>
        </w:tc>
        <w:tc>
          <w:tcPr>
            <w:tcW w:type="dxa" w:w="1075"/>
            <w:tcBorders>
              <w:top w:val="single" w:color="1A305B" w:sz="1"/>
              <w:left w:val="single" w:color="1A305B" w:sz="1"/>
              <w:bottom w:val="single" w:color="1A305B" w:sz="1"/>
              <w:right w:val="single" w:color="1A305B" w:sz="1"/>
            </w:tcBorders>
            <w:shd w:fill="FFFFFF" w:color="auto" w:val="clear"/>
            <w:tcMar>
              <w:top w:type="dxa" w:w="61"/>
              <w:left w:type="dxa" w:w="100"/>
              <w:bottom w:type="dxa" w:w="61"/>
              <w:right w:type="dxa" w:w="100"/>
            </w:tcMar>
          </w:tcPr>
          <w:p>
            <w:pPr>
              <w:jc w:val="center"/>
            </w:pPr>
            <w:r>
              <w:rPr>
                <w:rFonts w:ascii="Times New Roman" w:cs="Times New Roman" w:eastAsia="Times New Roman" w:hAnsi="Times New Roman"/>
                <w:b/>
                <w:bCs/>
                <w:color w:val="000000"/>
                <w:sz w:val="20"/>
                <w:szCs w:val="20"/>
              </w:rPr>
              <w:t xml:space="preserve">Total</w:t>
            </w:r>
            <w:r>
              <w:rPr>
                <w:rFonts w:ascii="Times New Roman" w:cs="Times New Roman" w:eastAsia="Times New Roman" w:hAnsi="Times New Roman"/>
                <w:b/>
                <w:bCs/>
                <w:color w:val="000000"/>
                <w:sz w:val="20"/>
                <w:szCs w:val="20"/>
              </w:rPr>
              <w:br/>
              <w:t xml:space="preserve">Employment</w:t>
            </w:r>
          </w:p>
        </w:tc>
        <w:tc>
          <w:tcPr>
            <w:tcW w:type="dxa" w:w="1075"/>
            <w:tcBorders>
              <w:top w:val="single" w:color="1A305B" w:sz="1"/>
              <w:left w:val="single" w:color="1A305B" w:sz="1"/>
              <w:bottom w:val="single" w:color="1A305B" w:sz="1"/>
              <w:right w:val="single" w:color="1A305B" w:sz="1"/>
            </w:tcBorders>
            <w:shd w:fill="FFFFFF" w:color="auto" w:val="clear"/>
            <w:tcMar>
              <w:top w:type="dxa" w:w="61"/>
              <w:left w:type="dxa" w:w="100"/>
              <w:bottom w:type="dxa" w:w="61"/>
              <w:right w:type="dxa" w:w="100"/>
            </w:tcMar>
          </w:tcPr>
          <w:p>
            <w:pPr>
              <w:jc w:val="center"/>
            </w:pPr>
            <w:r>
              <w:rPr>
                <w:rFonts w:ascii="Times New Roman" w:cs="Times New Roman" w:eastAsia="Times New Roman" w:hAnsi="Times New Roman"/>
                <w:b/>
                <w:bCs/>
                <w:color w:val="000000"/>
                <w:sz w:val="20"/>
                <w:szCs w:val="20"/>
              </w:rPr>
              <w:t xml:space="preserve">Unemployment</w:t>
            </w:r>
            <w:r>
              <w:rPr>
                <w:rFonts w:ascii="Times New Roman" w:cs="Times New Roman" w:eastAsia="Times New Roman" w:hAnsi="Times New Roman"/>
                <w:b/>
                <w:bCs/>
                <w:color w:val="000000"/>
                <w:sz w:val="20"/>
                <w:szCs w:val="20"/>
              </w:rPr>
              <w:br/>
              <w:t xml:space="preserve">Rate (%)</w:t>
            </w:r>
          </w:p>
        </w:tc>
        <w:tc>
          <w:tcPr>
            <w:tcW w:type="dxa" w:w="1075"/>
            <w:tcBorders>
              <w:top w:val="single" w:color="1A305B" w:sz="1"/>
              <w:left w:val="single" w:color="1A305B" w:sz="1"/>
              <w:bottom w:val="single" w:color="1A305B" w:sz="1"/>
              <w:right w:val="single" w:color="1A305B" w:sz="1"/>
            </w:tcBorders>
            <w:shd w:fill="FFFFFF" w:color="auto" w:val="clear"/>
            <w:tcMar>
              <w:top w:type="dxa" w:w="61"/>
              <w:left w:type="dxa" w:w="100"/>
              <w:bottom w:type="dxa" w:w="61"/>
              <w:right w:type="dxa" w:w="100"/>
            </w:tcMar>
          </w:tcPr>
          <w:p>
            <w:pPr>
              <w:jc w:val="center"/>
            </w:pPr>
            <w:r>
              <w:rPr>
                <w:rFonts w:ascii="Times New Roman" w:cs="Times New Roman" w:eastAsia="Times New Roman" w:hAnsi="Times New Roman"/>
                <w:b/>
                <w:bCs/>
                <w:color w:val="000000"/>
                <w:sz w:val="20"/>
                <w:szCs w:val="20"/>
              </w:rPr>
              <w:t xml:space="preserve">Rate</w:t>
            </w:r>
            <w:r>
              <w:rPr>
                <w:rFonts w:ascii="Times New Roman" w:cs="Times New Roman" w:eastAsia="Times New Roman" w:hAnsi="Times New Roman"/>
                <w:b/>
                <w:bCs/>
                <w:color w:val="000000"/>
                <w:sz w:val="20"/>
                <w:szCs w:val="20"/>
              </w:rPr>
              <w:br/>
              <w:t xml:space="preserve">Change</w:t>
            </w:r>
          </w:p>
        </w:tc>
        <w:tc>
          <w:tcPr>
            <w:tcW w:type="dxa" w:w="1075"/>
            <w:tcBorders>
              <w:top w:val="single" w:color="1A305B" w:sz="1"/>
              <w:left w:val="single" w:color="1A305B" w:sz="1"/>
              <w:bottom w:val="single" w:color="1A305B" w:sz="1"/>
              <w:right w:val="single" w:color="1A305B" w:sz="1"/>
            </w:tcBorders>
            <w:shd w:fill="FFFFFF" w:color="auto" w:val="clear"/>
            <w:tcMar>
              <w:top w:type="dxa" w:w="61"/>
              <w:left w:type="dxa" w:w="100"/>
              <w:bottom w:type="dxa" w:w="61"/>
              <w:right w:type="dxa" w:w="100"/>
            </w:tcMar>
          </w:tcPr>
          <w:p>
            <w:pPr>
              <w:jc w:val="center"/>
            </w:pPr>
            <w:r>
              <w:rPr>
                <w:rFonts w:ascii="Times New Roman" w:cs="Times New Roman" w:eastAsia="Times New Roman" w:hAnsi="Times New Roman"/>
                <w:b/>
                <w:bCs/>
                <w:color w:val="000000"/>
                <w:sz w:val="20"/>
                <w:szCs w:val="20"/>
              </w:rPr>
              <w:t xml:space="preserve">Total Labor</w:t>
            </w:r>
            <w:r>
              <w:rPr>
                <w:rFonts w:ascii="Times New Roman" w:cs="Times New Roman" w:eastAsia="Times New Roman" w:hAnsi="Times New Roman"/>
                <w:b/>
                <w:bCs/>
                <w:color w:val="000000"/>
                <w:sz w:val="20"/>
                <w:szCs w:val="20"/>
              </w:rPr>
              <w:br/>
              <w:t xml:space="preserve">Force</w:t>
            </w:r>
          </w:p>
        </w:tc>
        <w:tc>
          <w:tcPr>
            <w:tcW w:type="dxa" w:w="1075"/>
            <w:tcBorders>
              <w:top w:val="single" w:color="1A305B" w:sz="1"/>
              <w:left w:val="single" w:color="1A305B" w:sz="1"/>
              <w:bottom w:val="single" w:color="1A305B" w:sz="1"/>
              <w:right w:val="single" w:color="1A305B" w:sz="1"/>
            </w:tcBorders>
            <w:shd w:fill="FFFFFF" w:color="auto" w:val="clear"/>
            <w:tcMar>
              <w:top w:type="dxa" w:w="61"/>
              <w:left w:type="dxa" w:w="100"/>
              <w:bottom w:type="dxa" w:w="61"/>
              <w:right w:type="dxa" w:w="100"/>
            </w:tcMar>
          </w:tcPr>
          <w:p>
            <w:pPr>
              <w:jc w:val="center"/>
            </w:pPr>
            <w:r>
              <w:rPr>
                <w:rFonts w:ascii="Times New Roman" w:cs="Times New Roman" w:eastAsia="Times New Roman" w:hAnsi="Times New Roman"/>
                <w:b/>
                <w:bCs/>
                <w:color w:val="000000"/>
                <w:sz w:val="20"/>
                <w:szCs w:val="20"/>
              </w:rPr>
              <w:t xml:space="preserve">Total</w:t>
            </w:r>
            <w:r>
              <w:rPr>
                <w:rFonts w:ascii="Times New Roman" w:cs="Times New Roman" w:eastAsia="Times New Roman" w:hAnsi="Times New Roman"/>
                <w:b/>
                <w:bCs/>
                <w:color w:val="000000"/>
                <w:sz w:val="20"/>
                <w:szCs w:val="20"/>
              </w:rPr>
              <w:br/>
              <w:t xml:space="preserve">Employment</w:t>
            </w:r>
          </w:p>
        </w:tc>
        <w:tc>
          <w:tcPr>
            <w:tcW w:type="dxa" w:w="1075"/>
            <w:tcBorders>
              <w:top w:val="single" w:color="1A305B" w:sz="1"/>
              <w:left w:val="single" w:color="1A305B" w:sz="1"/>
              <w:bottom w:val="single" w:color="1A305B" w:sz="1"/>
              <w:right w:val="single" w:color="1A305B" w:sz="1"/>
            </w:tcBorders>
            <w:shd w:fill="FFFFFF" w:color="auto" w:val="clear"/>
            <w:tcMar>
              <w:top w:type="dxa" w:w="61"/>
              <w:left w:type="dxa" w:w="100"/>
              <w:bottom w:type="dxa" w:w="61"/>
              <w:right w:type="dxa" w:w="100"/>
            </w:tcMar>
          </w:tcPr>
          <w:p>
            <w:pPr>
              <w:jc w:val="center"/>
            </w:pPr>
            <w:r>
              <w:rPr>
                <w:rFonts w:ascii="Times New Roman" w:cs="Times New Roman" w:eastAsia="Times New Roman" w:hAnsi="Times New Roman"/>
                <w:b/>
                <w:bCs/>
                <w:color w:val="000000"/>
                <w:sz w:val="20"/>
                <w:szCs w:val="20"/>
              </w:rPr>
              <w:t xml:space="preserve">Unemployment</w:t>
            </w:r>
            <w:r>
              <w:rPr>
                <w:rFonts w:ascii="Times New Roman" w:cs="Times New Roman" w:eastAsia="Times New Roman" w:hAnsi="Times New Roman"/>
                <w:b/>
                <w:bCs/>
                <w:color w:val="000000"/>
                <w:sz w:val="20"/>
                <w:szCs w:val="20"/>
              </w:rPr>
              <w:br/>
              <w:t xml:space="preserve">Rate (%)</w:t>
            </w:r>
          </w:p>
        </w:tc>
        <w:tc>
          <w:tcPr>
            <w:tcW w:type="dxa" w:w="1075"/>
            <w:tcBorders>
              <w:top w:val="single" w:color="1A305B" w:sz="1"/>
              <w:left w:val="single" w:color="1A305B" w:sz="1"/>
              <w:bottom w:val="single" w:color="1A305B" w:sz="1"/>
              <w:right w:val="single" w:color="1A305B" w:sz="1"/>
            </w:tcBorders>
            <w:shd w:fill="FFFFFF" w:color="auto" w:val="clear"/>
            <w:tcMar>
              <w:top w:type="dxa" w:w="61"/>
              <w:left w:type="dxa" w:w="100"/>
              <w:bottom w:type="dxa" w:w="61"/>
              <w:right w:type="dxa" w:w="100"/>
            </w:tcMar>
          </w:tcPr>
          <w:p>
            <w:pPr>
              <w:jc w:val="center"/>
            </w:pPr>
            <w:r>
              <w:rPr>
                <w:rFonts w:ascii="Times New Roman" w:cs="Times New Roman" w:eastAsia="Times New Roman" w:hAnsi="Times New Roman"/>
                <w:b/>
                <w:bCs/>
                <w:color w:val="000000"/>
                <w:sz w:val="20"/>
                <w:szCs w:val="20"/>
              </w:rPr>
              <w:t xml:space="preserve">Rate</w:t>
            </w:r>
            <w:r>
              <w:rPr>
                <w:rFonts w:ascii="Times New Roman" w:cs="Times New Roman" w:eastAsia="Times New Roman" w:hAnsi="Times New Roman"/>
                <w:b/>
                <w:bCs/>
                <w:color w:val="000000"/>
                <w:sz w:val="20"/>
                <w:szCs w:val="20"/>
              </w:rPr>
              <w:br/>
              <w:t xml:space="preserve">Change</w:t>
            </w:r>
          </w:p>
        </w:tc>
      </w:tr>
      <w:tr>
        <w:tc>
          <w:tcPr>
            <w:tcW w:type="dxa" w:w="760"/>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color w:val="000000"/>
                <w:sz w:val="20"/>
                <w:szCs w:val="20"/>
              </w:rPr>
              <w:t xml:space="preserve">2015</w:t>
            </w:r>
          </w:p>
        </w:tc>
        <w:tc>
          <w:tcPr>
            <w:tcW w:type="dxa" w:w="1075"/>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color w:val="000000"/>
                <w:sz w:val="20"/>
                <w:szCs w:val="20"/>
              </w:rPr>
              <w:t xml:space="preserve">80,096</w:t>
            </w:r>
          </w:p>
        </w:tc>
        <w:tc>
          <w:tcPr>
            <w:tcW w:type="dxa" w:w="1075"/>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color w:val="000000"/>
                <w:sz w:val="20"/>
                <w:szCs w:val="20"/>
              </w:rPr>
              <w:t xml:space="preserve">75,477</w:t>
            </w:r>
          </w:p>
        </w:tc>
        <w:tc>
          <w:tcPr>
            <w:tcW w:type="dxa" w:w="1075"/>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color w:val="000000"/>
                <w:sz w:val="20"/>
                <w:szCs w:val="20"/>
              </w:rPr>
              <w:t xml:space="preserve">5.8</w:t>
            </w:r>
          </w:p>
        </w:tc>
        <w:tc>
          <w:tcPr>
            <w:tcW w:type="dxa" w:w="1075"/>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color w:val="000000"/>
                <w:sz w:val="20"/>
                <w:szCs w:val="20"/>
              </w:rPr>
              <w:t xml:space="preserve">-</w:t>
            </w:r>
          </w:p>
        </w:tc>
        <w:tc>
          <w:tcPr>
            <w:tcW w:type="dxa" w:w="1075"/>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color w:val="000000"/>
                <w:sz w:val="20"/>
                <w:szCs w:val="20"/>
              </w:rPr>
              <w:t xml:space="preserve">167,930</w:t>
            </w:r>
          </w:p>
        </w:tc>
        <w:tc>
          <w:tcPr>
            <w:tcW w:type="dxa" w:w="1075"/>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color w:val="000000"/>
                <w:sz w:val="20"/>
                <w:szCs w:val="20"/>
              </w:rPr>
              <w:t xml:space="preserve">159,129</w:t>
            </w:r>
          </w:p>
        </w:tc>
        <w:tc>
          <w:tcPr>
            <w:tcW w:type="dxa" w:w="1075"/>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color w:val="000000"/>
                <w:sz w:val="20"/>
                <w:szCs w:val="20"/>
              </w:rPr>
              <w:t xml:space="preserve">5.2</w:t>
            </w:r>
          </w:p>
        </w:tc>
        <w:tc>
          <w:tcPr>
            <w:tcW w:type="dxa" w:w="1075"/>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color w:val="000000"/>
                <w:sz w:val="20"/>
                <w:szCs w:val="20"/>
              </w:rPr>
              <w:t xml:space="preserve">-</w:t>
            </w:r>
          </w:p>
        </w:tc>
      </w:tr>
      <w:tr>
        <w:tc>
          <w:tcPr>
            <w:tcW w:type="dxa" w:w="760"/>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color w:val="000000"/>
                <w:sz w:val="20"/>
                <w:szCs w:val="20"/>
              </w:rPr>
              <w:t xml:space="preserve">2016</w:t>
            </w:r>
          </w:p>
        </w:tc>
        <w:tc>
          <w:tcPr>
            <w:tcW w:type="dxa" w:w="1075"/>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color w:val="000000"/>
                <w:sz w:val="20"/>
                <w:szCs w:val="20"/>
              </w:rPr>
              <w:t xml:space="preserve">85,409</w:t>
            </w:r>
          </w:p>
        </w:tc>
        <w:tc>
          <w:tcPr>
            <w:tcW w:type="dxa" w:w="1075"/>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color w:val="000000"/>
                <w:sz w:val="20"/>
                <w:szCs w:val="20"/>
              </w:rPr>
              <w:t xml:space="preserve">81,360</w:t>
            </w:r>
          </w:p>
        </w:tc>
        <w:tc>
          <w:tcPr>
            <w:tcW w:type="dxa" w:w="1075"/>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color w:val="000000"/>
                <w:sz w:val="20"/>
                <w:szCs w:val="20"/>
              </w:rPr>
              <w:t xml:space="preserve">4.7</w:t>
            </w:r>
          </w:p>
        </w:tc>
        <w:tc>
          <w:tcPr>
            <w:tcW w:type="dxa" w:w="1075"/>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color w:val="000000"/>
                <w:sz w:val="20"/>
                <w:szCs w:val="20"/>
              </w:rPr>
              <w:t xml:space="preserve">(1.1)</w:t>
            </w:r>
          </w:p>
        </w:tc>
        <w:tc>
          <w:tcPr>
            <w:tcW w:type="dxa" w:w="1075"/>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color w:val="000000"/>
                <w:sz w:val="20"/>
                <w:szCs w:val="20"/>
              </w:rPr>
              <w:t xml:space="preserve">173,024</w:t>
            </w:r>
          </w:p>
        </w:tc>
        <w:tc>
          <w:tcPr>
            <w:tcW w:type="dxa" w:w="1075"/>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color w:val="000000"/>
                <w:sz w:val="20"/>
                <w:szCs w:val="20"/>
              </w:rPr>
              <w:t xml:space="preserve">165,171</w:t>
            </w:r>
          </w:p>
        </w:tc>
        <w:tc>
          <w:tcPr>
            <w:tcW w:type="dxa" w:w="1075"/>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color w:val="000000"/>
                <w:sz w:val="20"/>
                <w:szCs w:val="20"/>
              </w:rPr>
              <w:t xml:space="preserve">4.5</w:t>
            </w:r>
          </w:p>
        </w:tc>
        <w:tc>
          <w:tcPr>
            <w:tcW w:type="dxa" w:w="1075"/>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color w:val="000000"/>
                <w:sz w:val="20"/>
                <w:szCs w:val="20"/>
              </w:rPr>
              <w:t xml:space="preserve">(0.7)</w:t>
            </w:r>
          </w:p>
        </w:tc>
      </w:tr>
      <w:tr>
        <w:tc>
          <w:tcPr>
            <w:tcW w:type="dxa" w:w="760"/>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color w:val="000000"/>
                <w:sz w:val="20"/>
                <w:szCs w:val="20"/>
              </w:rPr>
              <w:t xml:space="preserve">2017</w:t>
            </w:r>
          </w:p>
        </w:tc>
        <w:tc>
          <w:tcPr>
            <w:tcW w:type="dxa" w:w="1075"/>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color w:val="000000"/>
                <w:sz w:val="20"/>
                <w:szCs w:val="20"/>
              </w:rPr>
              <w:t xml:space="preserve">87,523</w:t>
            </w:r>
          </w:p>
        </w:tc>
        <w:tc>
          <w:tcPr>
            <w:tcW w:type="dxa" w:w="1075"/>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color w:val="000000"/>
                <w:sz w:val="20"/>
                <w:szCs w:val="20"/>
              </w:rPr>
              <w:t xml:space="preserve">84,246</w:t>
            </w:r>
          </w:p>
        </w:tc>
        <w:tc>
          <w:tcPr>
            <w:tcW w:type="dxa" w:w="1075"/>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color w:val="000000"/>
                <w:sz w:val="20"/>
                <w:szCs w:val="20"/>
              </w:rPr>
              <w:t xml:space="preserve">3.7</w:t>
            </w:r>
          </w:p>
        </w:tc>
        <w:tc>
          <w:tcPr>
            <w:tcW w:type="dxa" w:w="1075"/>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color w:val="000000"/>
                <w:sz w:val="20"/>
                <w:szCs w:val="20"/>
              </w:rPr>
              <w:t xml:space="preserve">(1.0)</w:t>
            </w:r>
          </w:p>
        </w:tc>
        <w:tc>
          <w:tcPr>
            <w:tcW w:type="dxa" w:w="1075"/>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color w:val="000000"/>
                <w:sz w:val="20"/>
                <w:szCs w:val="20"/>
              </w:rPr>
              <w:t xml:space="preserve">177,253</w:t>
            </w:r>
          </w:p>
        </w:tc>
        <w:tc>
          <w:tcPr>
            <w:tcW w:type="dxa" w:w="1075"/>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color w:val="000000"/>
                <w:sz w:val="20"/>
                <w:szCs w:val="20"/>
              </w:rPr>
              <w:t xml:space="preserve">170,860</w:t>
            </w:r>
          </w:p>
        </w:tc>
        <w:tc>
          <w:tcPr>
            <w:tcW w:type="dxa" w:w="1075"/>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color w:val="000000"/>
                <w:sz w:val="20"/>
                <w:szCs w:val="20"/>
              </w:rPr>
              <w:t xml:space="preserve">3.6</w:t>
            </w:r>
          </w:p>
        </w:tc>
        <w:tc>
          <w:tcPr>
            <w:tcW w:type="dxa" w:w="1075"/>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color w:val="000000"/>
                <w:sz w:val="20"/>
                <w:szCs w:val="20"/>
              </w:rPr>
              <w:t xml:space="preserve">(0.9)</w:t>
            </w:r>
          </w:p>
        </w:tc>
      </w:tr>
      <w:tr>
        <w:tc>
          <w:tcPr>
            <w:tcW w:type="dxa" w:w="760"/>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color w:val="000000"/>
                <w:sz w:val="20"/>
                <w:szCs w:val="20"/>
              </w:rPr>
              <w:t xml:space="preserve">2018</w:t>
            </w:r>
          </w:p>
        </w:tc>
        <w:tc>
          <w:tcPr>
            <w:tcW w:type="dxa" w:w="1075"/>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color w:val="000000"/>
                <w:sz w:val="20"/>
                <w:szCs w:val="20"/>
              </w:rPr>
              <w:t xml:space="preserve">90,088</w:t>
            </w:r>
          </w:p>
        </w:tc>
        <w:tc>
          <w:tcPr>
            <w:tcW w:type="dxa" w:w="1075"/>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color w:val="000000"/>
                <w:sz w:val="20"/>
                <w:szCs w:val="20"/>
              </w:rPr>
              <w:t xml:space="preserve">86,957</w:t>
            </w:r>
          </w:p>
        </w:tc>
        <w:tc>
          <w:tcPr>
            <w:tcW w:type="dxa" w:w="1075"/>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color w:val="000000"/>
                <w:sz w:val="20"/>
                <w:szCs w:val="20"/>
              </w:rPr>
              <w:t xml:space="preserve">3.5</w:t>
            </w:r>
          </w:p>
        </w:tc>
        <w:tc>
          <w:tcPr>
            <w:tcW w:type="dxa" w:w="1075"/>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color w:val="000000"/>
                <w:sz w:val="20"/>
                <w:szCs w:val="20"/>
              </w:rPr>
              <w:t xml:space="preserve">(0.2)</w:t>
            </w:r>
          </w:p>
        </w:tc>
        <w:tc>
          <w:tcPr>
            <w:tcW w:type="dxa" w:w="1075"/>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color w:val="000000"/>
                <w:sz w:val="20"/>
                <w:szCs w:val="20"/>
              </w:rPr>
              <w:t xml:space="preserve">181,617</w:t>
            </w:r>
          </w:p>
        </w:tc>
        <w:tc>
          <w:tcPr>
            <w:tcW w:type="dxa" w:w="1075"/>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color w:val="000000"/>
                <w:sz w:val="20"/>
                <w:szCs w:val="20"/>
              </w:rPr>
              <w:t xml:space="preserve">175,599</w:t>
            </w:r>
          </w:p>
        </w:tc>
        <w:tc>
          <w:tcPr>
            <w:tcW w:type="dxa" w:w="1075"/>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color w:val="000000"/>
                <w:sz w:val="20"/>
                <w:szCs w:val="20"/>
              </w:rPr>
              <w:t xml:space="preserve">3.3</w:t>
            </w:r>
          </w:p>
        </w:tc>
        <w:tc>
          <w:tcPr>
            <w:tcW w:type="dxa" w:w="1075"/>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color w:val="000000"/>
                <w:sz w:val="20"/>
                <w:szCs w:val="20"/>
              </w:rPr>
              <w:t xml:space="preserve">(0.3)</w:t>
            </w:r>
          </w:p>
        </w:tc>
      </w:tr>
      <w:tr>
        <w:tc>
          <w:tcPr>
            <w:tcW w:type="dxa" w:w="760"/>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color w:val="000000"/>
                <w:sz w:val="20"/>
                <w:szCs w:val="20"/>
              </w:rPr>
              <w:t xml:space="preserve">2019</w:t>
            </w:r>
          </w:p>
        </w:tc>
        <w:tc>
          <w:tcPr>
            <w:tcW w:type="dxa" w:w="1075"/>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color w:val="000000"/>
                <w:sz w:val="20"/>
                <w:szCs w:val="20"/>
              </w:rPr>
              <w:t xml:space="preserve">91,884</w:t>
            </w:r>
          </w:p>
        </w:tc>
        <w:tc>
          <w:tcPr>
            <w:tcW w:type="dxa" w:w="1075"/>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color w:val="000000"/>
                <w:sz w:val="20"/>
                <w:szCs w:val="20"/>
              </w:rPr>
              <w:t xml:space="preserve">88,832</w:t>
            </w:r>
          </w:p>
        </w:tc>
        <w:tc>
          <w:tcPr>
            <w:tcW w:type="dxa" w:w="1075"/>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color w:val="000000"/>
                <w:sz w:val="20"/>
                <w:szCs w:val="20"/>
              </w:rPr>
              <w:t xml:space="preserve">3.3</w:t>
            </w:r>
          </w:p>
        </w:tc>
        <w:tc>
          <w:tcPr>
            <w:tcW w:type="dxa" w:w="1075"/>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color w:val="000000"/>
                <w:sz w:val="20"/>
                <w:szCs w:val="20"/>
              </w:rPr>
              <w:t xml:space="preserve">(0.2)</w:t>
            </w:r>
          </w:p>
        </w:tc>
        <w:tc>
          <w:tcPr>
            <w:tcW w:type="dxa" w:w="1075"/>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color w:val="000000"/>
                <w:sz w:val="20"/>
                <w:szCs w:val="20"/>
              </w:rPr>
              <w:t xml:space="preserve">186,035</w:t>
            </w:r>
          </w:p>
        </w:tc>
        <w:tc>
          <w:tcPr>
            <w:tcW w:type="dxa" w:w="1075"/>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color w:val="000000"/>
                <w:sz w:val="20"/>
                <w:szCs w:val="20"/>
              </w:rPr>
              <w:t xml:space="preserve">180,200</w:t>
            </w:r>
          </w:p>
        </w:tc>
        <w:tc>
          <w:tcPr>
            <w:tcW w:type="dxa" w:w="1075"/>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color w:val="000000"/>
                <w:sz w:val="20"/>
                <w:szCs w:val="20"/>
              </w:rPr>
              <w:t xml:space="preserve">3.1</w:t>
            </w:r>
          </w:p>
        </w:tc>
        <w:tc>
          <w:tcPr>
            <w:tcW w:type="dxa" w:w="1075"/>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color w:val="000000"/>
                <w:sz w:val="20"/>
                <w:szCs w:val="20"/>
              </w:rPr>
              <w:t xml:space="preserve">(0.2)</w:t>
            </w:r>
          </w:p>
        </w:tc>
      </w:tr>
      <w:tr>
        <w:tc>
          <w:tcPr>
            <w:tcW w:type="dxa" w:w="760"/>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color w:val="000000"/>
                <w:sz w:val="20"/>
                <w:szCs w:val="20"/>
              </w:rPr>
              <w:t xml:space="preserve">2020</w:t>
            </w:r>
          </w:p>
        </w:tc>
        <w:tc>
          <w:tcPr>
            <w:tcW w:type="dxa" w:w="1075"/>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color w:val="000000"/>
                <w:sz w:val="20"/>
                <w:szCs w:val="20"/>
              </w:rPr>
              <w:t xml:space="preserve">91,606</w:t>
            </w:r>
          </w:p>
        </w:tc>
        <w:tc>
          <w:tcPr>
            <w:tcW w:type="dxa" w:w="1075"/>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color w:val="000000"/>
                <w:sz w:val="20"/>
                <w:szCs w:val="20"/>
              </w:rPr>
              <w:t xml:space="preserve">84,205</w:t>
            </w:r>
          </w:p>
        </w:tc>
        <w:tc>
          <w:tcPr>
            <w:tcW w:type="dxa" w:w="1075"/>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color w:val="000000"/>
                <w:sz w:val="20"/>
                <w:szCs w:val="20"/>
              </w:rPr>
              <w:t xml:space="preserve">8.1</w:t>
            </w:r>
          </w:p>
        </w:tc>
        <w:tc>
          <w:tcPr>
            <w:tcW w:type="dxa" w:w="1075"/>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color w:val="000000"/>
                <w:sz w:val="20"/>
                <w:szCs w:val="20"/>
              </w:rPr>
              <w:t xml:space="preserve">4.8</w:t>
            </w:r>
          </w:p>
        </w:tc>
        <w:tc>
          <w:tcPr>
            <w:tcW w:type="dxa" w:w="1075"/>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color w:val="000000"/>
                <w:sz w:val="20"/>
                <w:szCs w:val="20"/>
              </w:rPr>
              <w:t xml:space="preserve">183,629</w:t>
            </w:r>
          </w:p>
        </w:tc>
        <w:tc>
          <w:tcPr>
            <w:tcW w:type="dxa" w:w="1075"/>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color w:val="000000"/>
                <w:sz w:val="20"/>
                <w:szCs w:val="20"/>
              </w:rPr>
              <w:t xml:space="preserve">170,749</w:t>
            </w:r>
          </w:p>
        </w:tc>
        <w:tc>
          <w:tcPr>
            <w:tcW w:type="dxa" w:w="1075"/>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color w:val="000000"/>
                <w:sz w:val="20"/>
                <w:szCs w:val="20"/>
              </w:rPr>
              <w:t xml:space="preserve">7.0</w:t>
            </w:r>
          </w:p>
        </w:tc>
        <w:tc>
          <w:tcPr>
            <w:tcW w:type="dxa" w:w="1075"/>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color w:val="000000"/>
                <w:sz w:val="20"/>
                <w:szCs w:val="20"/>
              </w:rPr>
              <w:t xml:space="preserve">3.9</w:t>
            </w:r>
          </w:p>
        </w:tc>
      </w:tr>
      <w:tr>
        <w:tc>
          <w:tcPr>
            <w:tcW w:type="dxa" w:w="760"/>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color w:val="000000"/>
                <w:sz w:val="20"/>
                <w:szCs w:val="20"/>
              </w:rPr>
              <w:t xml:space="preserve">2021</w:t>
            </w:r>
          </w:p>
        </w:tc>
        <w:tc>
          <w:tcPr>
            <w:tcW w:type="dxa" w:w="1075"/>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color w:val="000000"/>
                <w:sz w:val="20"/>
                <w:szCs w:val="20"/>
              </w:rPr>
              <w:t xml:space="preserve">90,839</w:t>
            </w:r>
          </w:p>
        </w:tc>
        <w:tc>
          <w:tcPr>
            <w:tcW w:type="dxa" w:w="1075"/>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color w:val="000000"/>
                <w:sz w:val="20"/>
                <w:szCs w:val="20"/>
              </w:rPr>
              <w:t xml:space="preserve">86,366</w:t>
            </w:r>
          </w:p>
        </w:tc>
        <w:tc>
          <w:tcPr>
            <w:tcW w:type="dxa" w:w="1075"/>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color w:val="000000"/>
                <w:sz w:val="20"/>
                <w:szCs w:val="20"/>
              </w:rPr>
              <w:t xml:space="preserve">4.9</w:t>
            </w:r>
          </w:p>
        </w:tc>
        <w:tc>
          <w:tcPr>
            <w:tcW w:type="dxa" w:w="1075"/>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color w:val="000000"/>
                <w:sz w:val="20"/>
                <w:szCs w:val="20"/>
              </w:rPr>
              <w:t xml:space="preserve">(3.2)</w:t>
            </w:r>
          </w:p>
        </w:tc>
        <w:tc>
          <w:tcPr>
            <w:tcW w:type="dxa" w:w="1075"/>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color w:val="000000"/>
                <w:sz w:val="20"/>
                <w:szCs w:val="20"/>
              </w:rPr>
              <w:t xml:space="preserve">184,068</w:t>
            </w:r>
          </w:p>
        </w:tc>
        <w:tc>
          <w:tcPr>
            <w:tcW w:type="dxa" w:w="1075"/>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color w:val="000000"/>
                <w:sz w:val="20"/>
                <w:szCs w:val="20"/>
              </w:rPr>
              <w:t xml:space="preserve">176,355</w:t>
            </w:r>
          </w:p>
        </w:tc>
        <w:tc>
          <w:tcPr>
            <w:tcW w:type="dxa" w:w="1075"/>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color w:val="000000"/>
                <w:sz w:val="20"/>
                <w:szCs w:val="20"/>
              </w:rPr>
              <w:t xml:space="preserve">4.2</w:t>
            </w:r>
          </w:p>
        </w:tc>
        <w:tc>
          <w:tcPr>
            <w:tcW w:type="dxa" w:w="1075"/>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color w:val="000000"/>
                <w:sz w:val="20"/>
                <w:szCs w:val="20"/>
              </w:rPr>
              <w:t xml:space="preserve">(2.8)</w:t>
            </w:r>
          </w:p>
        </w:tc>
      </w:tr>
      <w:tr>
        <w:tc>
          <w:tcPr>
            <w:tcW w:type="dxa" w:w="760"/>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color w:val="000000"/>
                <w:sz w:val="20"/>
                <w:szCs w:val="20"/>
              </w:rPr>
              <w:t xml:space="preserve">2022</w:t>
            </w:r>
          </w:p>
        </w:tc>
        <w:tc>
          <w:tcPr>
            <w:tcW w:type="dxa" w:w="1075"/>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color w:val="000000"/>
                <w:sz w:val="20"/>
                <w:szCs w:val="20"/>
              </w:rPr>
              <w:t xml:space="preserve">92,576</w:t>
            </w:r>
          </w:p>
        </w:tc>
        <w:tc>
          <w:tcPr>
            <w:tcW w:type="dxa" w:w="1075"/>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color w:val="000000"/>
                <w:sz w:val="20"/>
                <w:szCs w:val="20"/>
              </w:rPr>
              <w:t xml:space="preserve">89,259</w:t>
            </w:r>
          </w:p>
        </w:tc>
        <w:tc>
          <w:tcPr>
            <w:tcW w:type="dxa" w:w="1075"/>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color w:val="000000"/>
                <w:sz w:val="20"/>
                <w:szCs w:val="20"/>
              </w:rPr>
              <w:t xml:space="preserve">3.6</w:t>
            </w:r>
          </w:p>
        </w:tc>
        <w:tc>
          <w:tcPr>
            <w:tcW w:type="dxa" w:w="1075"/>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color w:val="000000"/>
                <w:sz w:val="20"/>
                <w:szCs w:val="20"/>
              </w:rPr>
              <w:t xml:space="preserve">(1.3)</w:t>
            </w:r>
          </w:p>
        </w:tc>
        <w:tc>
          <w:tcPr>
            <w:tcW w:type="dxa" w:w="1075"/>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color w:val="000000"/>
                <w:sz w:val="20"/>
                <w:szCs w:val="20"/>
              </w:rPr>
              <w:t xml:space="preserve">188,391</w:t>
            </w:r>
          </w:p>
        </w:tc>
        <w:tc>
          <w:tcPr>
            <w:tcW w:type="dxa" w:w="1075"/>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color w:val="000000"/>
                <w:sz w:val="20"/>
                <w:szCs w:val="20"/>
              </w:rPr>
              <w:t xml:space="preserve">182,161</w:t>
            </w:r>
          </w:p>
        </w:tc>
        <w:tc>
          <w:tcPr>
            <w:tcW w:type="dxa" w:w="1075"/>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color w:val="000000"/>
                <w:sz w:val="20"/>
                <w:szCs w:val="20"/>
              </w:rPr>
              <w:t xml:space="preserve">3.3</w:t>
            </w:r>
          </w:p>
        </w:tc>
        <w:tc>
          <w:tcPr>
            <w:tcW w:type="dxa" w:w="1075"/>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color w:val="000000"/>
                <w:sz w:val="20"/>
                <w:szCs w:val="20"/>
              </w:rPr>
              <w:t xml:space="preserve">(0.9)</w:t>
            </w:r>
          </w:p>
        </w:tc>
      </w:tr>
      <w:tr>
        <w:tc>
          <w:tcPr>
            <w:tcW w:type="dxa" w:w="760"/>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color w:val="000000"/>
                <w:sz w:val="20"/>
                <w:szCs w:val="20"/>
              </w:rPr>
              <w:t xml:space="preserve">2023</w:t>
            </w:r>
          </w:p>
        </w:tc>
        <w:tc>
          <w:tcPr>
            <w:tcW w:type="dxa" w:w="1075"/>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color w:val="000000"/>
                <w:sz w:val="20"/>
                <w:szCs w:val="20"/>
              </w:rPr>
              <w:t xml:space="preserve">95,827</w:t>
            </w:r>
          </w:p>
        </w:tc>
        <w:tc>
          <w:tcPr>
            <w:tcW w:type="dxa" w:w="1075"/>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color w:val="000000"/>
                <w:sz w:val="20"/>
                <w:szCs w:val="20"/>
              </w:rPr>
              <w:t xml:space="preserve">92,653</w:t>
            </w:r>
          </w:p>
        </w:tc>
        <w:tc>
          <w:tcPr>
            <w:tcW w:type="dxa" w:w="1075"/>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color w:val="000000"/>
                <w:sz w:val="20"/>
                <w:szCs w:val="20"/>
              </w:rPr>
              <w:t xml:space="preserve">3.3</w:t>
            </w:r>
          </w:p>
        </w:tc>
        <w:tc>
          <w:tcPr>
            <w:tcW w:type="dxa" w:w="1075"/>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color w:val="000000"/>
                <w:sz w:val="20"/>
                <w:szCs w:val="20"/>
              </w:rPr>
              <w:t xml:space="preserve">(0.3)</w:t>
            </w:r>
          </w:p>
        </w:tc>
        <w:tc>
          <w:tcPr>
            <w:tcW w:type="dxa" w:w="1075"/>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color w:val="000000"/>
                <w:sz w:val="20"/>
                <w:szCs w:val="20"/>
              </w:rPr>
              <w:t xml:space="preserve">194,621</w:t>
            </w:r>
          </w:p>
        </w:tc>
        <w:tc>
          <w:tcPr>
            <w:tcW w:type="dxa" w:w="1075"/>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color w:val="000000"/>
                <w:sz w:val="20"/>
                <w:szCs w:val="20"/>
              </w:rPr>
              <w:t xml:space="preserve">188,699</w:t>
            </w:r>
          </w:p>
        </w:tc>
        <w:tc>
          <w:tcPr>
            <w:tcW w:type="dxa" w:w="1075"/>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color w:val="000000"/>
                <w:sz w:val="20"/>
                <w:szCs w:val="20"/>
              </w:rPr>
              <w:t xml:space="preserve">3.0</w:t>
            </w:r>
          </w:p>
        </w:tc>
        <w:tc>
          <w:tcPr>
            <w:tcW w:type="dxa" w:w="1075"/>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color w:val="000000"/>
                <w:sz w:val="20"/>
                <w:szCs w:val="20"/>
              </w:rPr>
              <w:t xml:space="preserve">(0.3)</w:t>
            </w:r>
          </w:p>
        </w:tc>
      </w:tr>
      <w:tr>
        <w:tc>
          <w:tcPr>
            <w:tcW w:type="dxa" w:w="760"/>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color w:val="000000"/>
                <w:sz w:val="20"/>
                <w:szCs w:val="20"/>
              </w:rPr>
              <w:t xml:space="preserve">2024</w:t>
            </w:r>
          </w:p>
        </w:tc>
        <w:tc>
          <w:tcPr>
            <w:tcW w:type="dxa" w:w="1075"/>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color w:val="000000"/>
                <w:sz w:val="20"/>
                <w:szCs w:val="20"/>
              </w:rPr>
              <w:t xml:space="preserve">98,776</w:t>
            </w:r>
          </w:p>
        </w:tc>
        <w:tc>
          <w:tcPr>
            <w:tcW w:type="dxa" w:w="1075"/>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color w:val="000000"/>
                <w:sz w:val="20"/>
                <w:szCs w:val="20"/>
              </w:rPr>
              <w:t xml:space="preserve">95,512</w:t>
            </w:r>
          </w:p>
        </w:tc>
        <w:tc>
          <w:tcPr>
            <w:tcW w:type="dxa" w:w="1075"/>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color w:val="000000"/>
                <w:sz w:val="20"/>
                <w:szCs w:val="20"/>
              </w:rPr>
              <w:t xml:space="preserve">3.3</w:t>
            </w:r>
          </w:p>
        </w:tc>
        <w:tc>
          <w:tcPr>
            <w:tcW w:type="dxa" w:w="1075"/>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color w:val="000000"/>
                <w:sz w:val="20"/>
                <w:szCs w:val="20"/>
              </w:rPr>
              <w:t xml:space="preserve">0.0</w:t>
            </w:r>
          </w:p>
        </w:tc>
        <w:tc>
          <w:tcPr>
            <w:tcW w:type="dxa" w:w="1075"/>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color w:val="000000"/>
                <w:sz w:val="20"/>
                <w:szCs w:val="20"/>
              </w:rPr>
              <w:t xml:space="preserve">199,759</w:t>
            </w:r>
          </w:p>
        </w:tc>
        <w:tc>
          <w:tcPr>
            <w:tcW w:type="dxa" w:w="1075"/>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color w:val="000000"/>
                <w:sz w:val="20"/>
                <w:szCs w:val="20"/>
              </w:rPr>
              <w:t xml:space="preserve">193,549</w:t>
            </w:r>
          </w:p>
        </w:tc>
        <w:tc>
          <w:tcPr>
            <w:tcW w:type="dxa" w:w="1075"/>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color w:val="000000"/>
                <w:sz w:val="20"/>
                <w:szCs w:val="20"/>
              </w:rPr>
              <w:t xml:space="preserve">3.1</w:t>
            </w:r>
          </w:p>
        </w:tc>
        <w:tc>
          <w:tcPr>
            <w:tcW w:type="dxa" w:w="1075"/>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color w:val="000000"/>
                <w:sz w:val="20"/>
                <w:szCs w:val="20"/>
              </w:rPr>
              <w:t xml:space="preserve">0.1</w:t>
            </w:r>
          </w:p>
        </w:tc>
      </w:tr>
      <w:tr>
        <w:tc>
          <w:tcPr>
            <w:tcW w:type="dxa" w:w="760"/>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color w:val="000000"/>
                <w:sz w:val="20"/>
                <w:szCs w:val="20"/>
              </w:rPr>
              <w:t xml:space="preserve">2025</w:t>
            </w:r>
          </w:p>
        </w:tc>
        <w:tc>
          <w:tcPr>
            <w:tcW w:type="dxa" w:w="1075"/>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color w:val="000000"/>
                <w:sz w:val="20"/>
                <w:szCs w:val="20"/>
              </w:rPr>
              <w:t xml:space="preserve">100,540</w:t>
            </w:r>
          </w:p>
        </w:tc>
        <w:tc>
          <w:tcPr>
            <w:tcW w:type="dxa" w:w="1075"/>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color w:val="000000"/>
                <w:sz w:val="20"/>
                <w:szCs w:val="20"/>
              </w:rPr>
              <w:t xml:space="preserve">96,934</w:t>
            </w:r>
          </w:p>
        </w:tc>
        <w:tc>
          <w:tcPr>
            <w:tcW w:type="dxa" w:w="1075"/>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color w:val="000000"/>
                <w:sz w:val="20"/>
                <w:szCs w:val="20"/>
              </w:rPr>
              <w:t xml:space="preserve">3.6</w:t>
            </w:r>
          </w:p>
        </w:tc>
        <w:tc>
          <w:tcPr>
            <w:tcW w:type="dxa" w:w="1075"/>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color w:val="000000"/>
                <w:sz w:val="20"/>
                <w:szCs w:val="20"/>
              </w:rPr>
              <w:t xml:space="preserve">0.3</w:t>
            </w:r>
          </w:p>
        </w:tc>
        <w:tc>
          <w:tcPr>
            <w:tcW w:type="dxa" w:w="1075"/>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color w:val="000000"/>
                <w:sz w:val="20"/>
                <w:szCs w:val="20"/>
              </w:rPr>
              <w:t xml:space="preserve">203,165</w:t>
            </w:r>
          </w:p>
        </w:tc>
        <w:tc>
          <w:tcPr>
            <w:tcW w:type="dxa" w:w="1075"/>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color w:val="000000"/>
                <w:sz w:val="20"/>
                <w:szCs w:val="20"/>
              </w:rPr>
              <w:t xml:space="preserve">196,430</w:t>
            </w:r>
          </w:p>
        </w:tc>
        <w:tc>
          <w:tcPr>
            <w:tcW w:type="dxa" w:w="1075"/>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color w:val="000000"/>
                <w:sz w:val="20"/>
                <w:szCs w:val="20"/>
              </w:rPr>
              <w:t xml:space="preserve">3.3</w:t>
            </w:r>
          </w:p>
        </w:tc>
        <w:tc>
          <w:tcPr>
            <w:tcW w:type="dxa" w:w="1075"/>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color w:val="000000"/>
                <w:sz w:val="20"/>
                <w:szCs w:val="20"/>
              </w:rPr>
              <w:t xml:space="preserve">0.2</w:t>
            </w:r>
          </w:p>
        </w:tc>
      </w:tr>
      <w:tr>
        <w:tc>
          <w:tcPr>
            <w:tcW w:type="dxa" w:w="760"/>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color w:val="000000"/>
                <w:sz w:val="20"/>
                <w:szCs w:val="20"/>
              </w:rPr>
              <w:t xml:space="preserve">2026 YTD</w:t>
            </w:r>
          </w:p>
        </w:tc>
        <w:tc>
          <w:tcPr>
            <w:tcW w:type="dxa" w:w="1075"/>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color w:val="000000"/>
                <w:sz w:val="20"/>
                <w:szCs w:val="20"/>
              </w:rPr>
              <w:t xml:space="preserve">99,085</w:t>
            </w:r>
          </w:p>
        </w:tc>
        <w:tc>
          <w:tcPr>
            <w:tcW w:type="dxa" w:w="1075"/>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color w:val="000000"/>
                <w:sz w:val="20"/>
                <w:szCs w:val="20"/>
              </w:rPr>
              <w:t xml:space="preserve">95,482</w:t>
            </w:r>
          </w:p>
        </w:tc>
        <w:tc>
          <w:tcPr>
            <w:tcW w:type="dxa" w:w="1075"/>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color w:val="000000"/>
                <w:sz w:val="20"/>
                <w:szCs w:val="20"/>
              </w:rPr>
              <w:t xml:space="preserve">3.6</w:t>
            </w:r>
          </w:p>
        </w:tc>
        <w:tc>
          <w:tcPr>
            <w:tcW w:type="dxa" w:w="1075"/>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color w:val="000000"/>
                <w:sz w:val="20"/>
                <w:szCs w:val="20"/>
              </w:rPr>
              <w:t xml:space="preserve">0.0</w:t>
            </w:r>
          </w:p>
        </w:tc>
        <w:tc>
          <w:tcPr>
            <w:tcW w:type="dxa" w:w="1075"/>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color w:val="000000"/>
                <w:sz w:val="20"/>
                <w:szCs w:val="20"/>
              </w:rPr>
              <w:t xml:space="preserve">200,147</w:t>
            </w:r>
          </w:p>
        </w:tc>
        <w:tc>
          <w:tcPr>
            <w:tcW w:type="dxa" w:w="1075"/>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color w:val="000000"/>
                <w:sz w:val="20"/>
                <w:szCs w:val="20"/>
              </w:rPr>
              <w:t xml:space="preserve">193,489</w:t>
            </w:r>
          </w:p>
        </w:tc>
        <w:tc>
          <w:tcPr>
            <w:tcW w:type="dxa" w:w="1075"/>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color w:val="000000"/>
                <w:sz w:val="20"/>
                <w:szCs w:val="20"/>
              </w:rPr>
              <w:t xml:space="preserve">3.3</w:t>
            </w:r>
          </w:p>
        </w:tc>
        <w:tc>
          <w:tcPr>
            <w:tcW w:type="dxa" w:w="1075"/>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color w:val="000000"/>
                <w:sz w:val="20"/>
                <w:szCs w:val="20"/>
              </w:rPr>
              <w:t xml:space="preserve">0.0</w:t>
            </w:r>
          </w:p>
        </w:tc>
      </w:tr>
    </w:tbl>
    <w:p>
      <w:pPr>
        <w:spacing w:before="40"/>
      </w:pPr>
      <w:r>
        <w:rPr>
          <w:rFonts w:ascii="Times New Roman" w:cs="Times New Roman" w:eastAsia="Times New Roman" w:hAnsi="Times New Roman"/>
          <w:i w:val="false"/>
          <w:iCs w:val="false"/>
          <w:color w:val="000000"/>
          <w:sz w:val="20"/>
          <w:szCs w:val="20"/>
        </w:rPr>
        <w:t xml:space="preserve">Source: Bureau of Labor Statistics</w:t>
      </w:r>
    </w:p>
    <w:p>
      <w:pPr>
        <w:spacing w:after="120"/>
        <w:jc w:val="both"/>
      </w:pPr>
      <w:r>
        <w:rPr>
          <w:rFonts w:ascii="Times New Roman" w:cs="Times New Roman" w:eastAsia="Times New Roman" w:hAnsi="Times New Roman"/>
          <w:color w:val="000000"/>
          <w:sz w:val="24"/>
          <w:szCs w:val="24"/>
        </w:rPr>
        <w:t xml:space="preserve">Between 2015 and 2019, Chattanooga's unemployment rate declined each year, falling from 5.8 percent in 2015 to a period low of 3.3 percent in 2019, before climbing to 8.1 percent in 2020 due to the impact of the COVID-19 pandemic. The following two years saw consistent improvement, with the unemployment rate falling to 3.6 percent by 2022. By 2023 and 2024, the rate had edged down further to 3.3 percent before rising modestly to 3.6 percent in 2025. Hamilton County has followed a similar trend.</w:t>
      </w:r>
    </w:p>
    <w:p>
      <w:pPr>
        <w:spacing w:after="120"/>
        <w:jc w:val="both"/>
      </w:pPr>
      <w:r>
        <w:rPr>
          <w:rFonts w:ascii="Times New Roman" w:cs="Times New Roman" w:eastAsia="Times New Roman" w:hAnsi="Times New Roman"/>
          <w:color w:val="000000"/>
          <w:sz w:val="24"/>
          <w:szCs w:val="24"/>
        </w:rPr>
        <w:t xml:space="preserve">Below we have compared the city, county, MSA, state, and national unemployment rates over the past 24 months.  Data was not available for Oct 2025.  Sep 2026 had not yet been published for all local areas at the time of report generation.</w:t>
      </w:r>
    </w:p>
    <w:p>
      <w:pPr>
        <w:spacing w:after="120" w:before="120"/>
        <w:jc w:val="center"/>
      </w:pPr>
      <w:r>
        <w:drawing>
          <wp:inline distT="0" distB="0" distL="0" distR="0">
            <wp:extent cx="5715000" cy="3048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3048000"/>
                    </a:xfrm>
                    <a:prstGeom prst="rect">
                      <a:avLst/>
                    </a:prstGeom>
                  </pic:spPr>
                </pic:pic>
              </a:graphicData>
            </a:graphic>
          </wp:inline>
        </w:drawing>
      </w:r>
    </w:p>
    <w:p>
      <w:pPr>
        <w:spacing w:before="120"/>
      </w:pPr>
    </w:p>
    <w:p>
      <w:pPr>
        <w:spacing w:after="120"/>
        <w:jc w:val="both"/>
      </w:pPr>
      <w:r>
        <w:rPr>
          <w:rFonts w:ascii="Times New Roman" w:cs="Times New Roman" w:eastAsia="Times New Roman" w:hAnsi="Times New Roman"/>
          <w:color w:val="000000"/>
          <w:sz w:val="24"/>
          <w:szCs w:val="24"/>
        </w:rPr>
        <w:t xml:space="preserve">Over the past 24 months, Chattanooga's unemployment rate has generally tracked above Hamilton County and the Chattanooga MSA, while remaining close to or in line with the state rate. Both the city and the county have consistently reported unemployment rates below the national level throughout the period. The state has generally mirrored the city's rate, with both falling below the national average across most of the comparison period. Hamilton County and the MSA have tended to occupy the lowest positions among the local and state series, while the national rate has remained the highest benchmark throughout.</w:t>
      </w:r>
    </w:p>
    <w:p>
      <w:r>
        <w:br w:type="page"/>
      </w:r>
    </w:p>
    <w:p>
      <w:pPr>
        <w:pStyle w:val="Heading1"/>
        <w:spacing w:after="0" w:before="0"/>
      </w:pPr>
      <w:r>
        <w:rPr>
          <w:rFonts w:ascii="Times New Roman" w:cs="Times New Roman" w:eastAsia="Times New Roman" w:hAnsi="Times New Roman"/>
          <w:b/>
          <w:bCs/>
          <w:i w:val="false"/>
          <w:iCs w:val="false"/>
          <w:color w:val="000000"/>
          <w:sz w:val="24"/>
          <w:szCs w:val="24"/>
        </w:rPr>
        <w:t xml:space="preserve">Employment Trends</w:t>
      </w:r>
    </w:p>
    <w:tbl>
      <w:tblPr>
        <w:tblW w:type="dxa" w:w="9360"/>
        <w:jc w:val="center"/>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337"/>
        <w:gridCol w:w="1337"/>
        <w:gridCol w:w="1337"/>
        <w:gridCol w:w="1337"/>
        <w:gridCol w:w="1337"/>
        <w:gridCol w:w="1337"/>
        <w:gridCol w:w="1338"/>
      </w:tblGrid>
      <w:tr>
        <w:tc>
          <w:tcPr>
            <w:tcW w:type="dxa" w:w="9360"/>
            <w:gridSpan w:val="7"/>
            <w:tcBorders>
              <w:top w:val="single" w:color="1A305B" w:sz="1"/>
              <w:left w:val="single" w:color="1A305B" w:sz="1"/>
              <w:bottom w:val="single" w:color="1A305B" w:sz="1"/>
              <w:right w:val="single" w:color="1A305B" w:sz="1"/>
            </w:tcBorders>
            <w:shd w:fill="1A305B" w:color="auto" w:val="clear"/>
            <w:tcMar>
              <w:top w:type="dxa" w:w="61"/>
              <w:left w:type="dxa" w:w="100"/>
              <w:bottom w:type="dxa" w:w="61"/>
              <w:right w:type="dxa" w:w="100"/>
            </w:tcMar>
          </w:tcPr>
          <w:p>
            <w:pPr>
              <w:jc w:val="center"/>
            </w:pPr>
            <w:r>
              <w:rPr>
                <w:rFonts w:ascii="Times New Roman" w:cs="Times New Roman" w:eastAsia="Times New Roman" w:hAnsi="Times New Roman"/>
                <w:b/>
                <w:bCs/>
                <w:color w:val="FFFFFF"/>
                <w:sz w:val="20"/>
                <w:szCs w:val="20"/>
              </w:rPr>
              <w:t xml:space="preserve">Employment Trends - 2015 - 2026 YTD</w:t>
            </w:r>
          </w:p>
        </w:tc>
      </w:tr>
      <w:tr>
        <w:tc>
          <w:tcPr>
            <w:tcW w:type="dxa" w:w="1337"/>
            <w:tcBorders>
              <w:top w:val="single" w:color="1A305B" w:sz="1"/>
              <w:left w:val="single" w:color="1A305B" w:sz="1"/>
              <w:bottom w:val="single" w:color="1A305B" w:sz="1"/>
              <w:right w:val="single" w:color="1A305B" w:sz="1"/>
            </w:tcBorders>
            <w:shd w:fill="FFFFFF" w:color="auto" w:val="clear"/>
            <w:tcMar>
              <w:top w:type="dxa" w:w="61"/>
              <w:left w:type="dxa" w:w="100"/>
              <w:bottom w:type="dxa" w:w="61"/>
              <w:right w:type="dxa" w:w="100"/>
            </w:tcMar>
          </w:tcPr>
          <w:p>
            <w:pPr>
              <w:jc w:val="center"/>
            </w:pPr>
          </w:p>
        </w:tc>
        <w:tc>
          <w:tcPr>
            <w:tcW w:type="dxa" w:w="2674"/>
            <w:gridSpan w:val="2"/>
            <w:tcBorders>
              <w:top w:val="single" w:color="1A305B" w:sz="1"/>
              <w:left w:val="single" w:color="1A305B" w:sz="1"/>
              <w:bottom w:val="single" w:color="1A305B" w:sz="1"/>
              <w:right w:val="single" w:color="1A305B" w:sz="1"/>
            </w:tcBorders>
            <w:shd w:fill="FFFFFF" w:color="auto" w:val="clear"/>
            <w:tcMar>
              <w:top w:type="dxa" w:w="61"/>
              <w:left w:type="dxa" w:w="100"/>
              <w:bottom w:type="dxa" w:w="61"/>
              <w:right w:type="dxa" w:w="100"/>
            </w:tcMar>
          </w:tcPr>
          <w:p>
            <w:pPr>
              <w:jc w:val="center"/>
            </w:pPr>
            <w:r>
              <w:rPr>
                <w:rFonts w:ascii="Times New Roman" w:cs="Times New Roman" w:eastAsia="Times New Roman" w:hAnsi="Times New Roman"/>
                <w:b/>
                <w:bCs/>
                <w:color w:val="000000"/>
                <w:sz w:val="20"/>
                <w:szCs w:val="20"/>
              </w:rPr>
              <w:t xml:space="preserve">Chattanooga, TN</w:t>
            </w:r>
          </w:p>
        </w:tc>
        <w:tc>
          <w:tcPr>
            <w:tcW w:type="dxa" w:w="2674"/>
            <w:gridSpan w:val="2"/>
            <w:tcBorders>
              <w:top w:val="single" w:color="1A305B" w:sz="1"/>
              <w:left w:val="single" w:color="1A305B" w:sz="1"/>
              <w:bottom w:val="single" w:color="1A305B" w:sz="1"/>
              <w:right w:val="single" w:color="1A305B" w:sz="1"/>
            </w:tcBorders>
            <w:shd w:fill="FFFFFF" w:color="auto" w:val="clear"/>
            <w:tcMar>
              <w:top w:type="dxa" w:w="61"/>
              <w:left w:type="dxa" w:w="100"/>
              <w:bottom w:type="dxa" w:w="61"/>
              <w:right w:type="dxa" w:w="100"/>
            </w:tcMar>
          </w:tcPr>
          <w:p>
            <w:pPr>
              <w:jc w:val="center"/>
            </w:pPr>
            <w:r>
              <w:rPr>
                <w:rFonts w:ascii="Times New Roman" w:cs="Times New Roman" w:eastAsia="Times New Roman" w:hAnsi="Times New Roman"/>
                <w:b/>
                <w:bCs/>
                <w:color w:val="000000"/>
                <w:sz w:val="20"/>
                <w:szCs w:val="20"/>
              </w:rPr>
              <w:t xml:space="preserve">Hamilton County, TN</w:t>
            </w:r>
          </w:p>
        </w:tc>
        <w:tc>
          <w:tcPr>
            <w:tcW w:type="dxa" w:w="2675"/>
            <w:gridSpan w:val="2"/>
            <w:tcBorders>
              <w:top w:val="single" w:color="1A305B" w:sz="1"/>
              <w:left w:val="single" w:color="1A305B" w:sz="1"/>
              <w:bottom w:val="single" w:color="1A305B" w:sz="1"/>
              <w:right w:val="single" w:color="1A305B" w:sz="1"/>
            </w:tcBorders>
            <w:shd w:fill="FFFFFF" w:color="auto" w:val="clear"/>
            <w:tcMar>
              <w:top w:type="dxa" w:w="61"/>
              <w:left w:type="dxa" w:w="100"/>
              <w:bottom w:type="dxa" w:w="61"/>
              <w:right w:type="dxa" w:w="100"/>
            </w:tcMar>
          </w:tcPr>
          <w:p>
            <w:pPr>
              <w:jc w:val="center"/>
            </w:pPr>
            <w:r>
              <w:rPr>
                <w:rFonts w:ascii="Times New Roman" w:cs="Times New Roman" w:eastAsia="Times New Roman" w:hAnsi="Times New Roman"/>
                <w:b/>
                <w:bCs/>
                <w:color w:val="000000"/>
                <w:sz w:val="20"/>
                <w:szCs w:val="20"/>
              </w:rPr>
              <w:t xml:space="preserve">Chattanooga, TN-GA MSA</w:t>
            </w:r>
          </w:p>
        </w:tc>
      </w:tr>
      <w:tr>
        <w:tc>
          <w:tcPr>
            <w:tcW w:type="dxa" w:w="1337"/>
            <w:tcBorders>
              <w:top w:val="single" w:color="1A305B" w:sz="1"/>
              <w:left w:val="single" w:color="1A305B" w:sz="1"/>
              <w:bottom w:val="single" w:color="1A305B" w:sz="1"/>
              <w:right w:val="single" w:color="1A305B" w:sz="1"/>
            </w:tcBorders>
            <w:shd w:fill="FFFFFF" w:color="auto" w:val="clear"/>
            <w:tcMar>
              <w:top w:type="dxa" w:w="61"/>
              <w:left w:type="dxa" w:w="100"/>
              <w:bottom w:type="dxa" w:w="61"/>
              <w:right w:type="dxa" w:w="100"/>
            </w:tcMar>
          </w:tcPr>
          <w:p>
            <w:pPr>
              <w:jc w:val="center"/>
            </w:pPr>
            <w:r>
              <w:rPr>
                <w:rFonts w:ascii="Times New Roman" w:cs="Times New Roman" w:eastAsia="Times New Roman" w:hAnsi="Times New Roman"/>
                <w:b/>
                <w:bCs/>
                <w:color w:val="000000"/>
                <w:sz w:val="20"/>
                <w:szCs w:val="20"/>
              </w:rPr>
              <w:t xml:space="preserve">Year</w:t>
            </w:r>
          </w:p>
        </w:tc>
        <w:tc>
          <w:tcPr>
            <w:tcW w:type="dxa" w:w="1337"/>
            <w:tcBorders>
              <w:top w:val="single" w:color="1A305B" w:sz="1"/>
              <w:left w:val="single" w:color="1A305B" w:sz="1"/>
              <w:bottom w:val="single" w:color="1A305B" w:sz="1"/>
              <w:right w:val="single" w:color="1A305B" w:sz="1"/>
            </w:tcBorders>
            <w:shd w:fill="FFFFFF" w:color="auto" w:val="clear"/>
            <w:tcMar>
              <w:top w:type="dxa" w:w="61"/>
              <w:left w:type="dxa" w:w="100"/>
              <w:bottom w:type="dxa" w:w="61"/>
              <w:right w:type="dxa" w:w="100"/>
            </w:tcMar>
          </w:tcPr>
          <w:p>
            <w:pPr>
              <w:jc w:val="center"/>
            </w:pPr>
            <w:r>
              <w:rPr>
                <w:rFonts w:ascii="Times New Roman" w:cs="Times New Roman" w:eastAsia="Times New Roman" w:hAnsi="Times New Roman"/>
                <w:b/>
                <w:bCs/>
                <w:color w:val="000000"/>
                <w:sz w:val="20"/>
                <w:szCs w:val="20"/>
              </w:rPr>
              <w:t xml:space="preserve">Total Employment</w:t>
            </w:r>
          </w:p>
        </w:tc>
        <w:tc>
          <w:tcPr>
            <w:tcW w:type="dxa" w:w="1337"/>
            <w:tcBorders>
              <w:top w:val="single" w:color="1A305B" w:sz="1"/>
              <w:left w:val="single" w:color="1A305B" w:sz="1"/>
              <w:bottom w:val="single" w:color="1A305B" w:sz="1"/>
              <w:right w:val="single" w:color="1A305B" w:sz="1"/>
            </w:tcBorders>
            <w:shd w:fill="FFFFFF" w:color="auto" w:val="clear"/>
            <w:tcMar>
              <w:top w:type="dxa" w:w="61"/>
              <w:left w:type="dxa" w:w="100"/>
              <w:bottom w:type="dxa" w:w="61"/>
              <w:right w:type="dxa" w:w="100"/>
            </w:tcMar>
          </w:tcPr>
          <w:p>
            <w:pPr>
              <w:jc w:val="center"/>
            </w:pPr>
            <w:r>
              <w:rPr>
                <w:rFonts w:ascii="Times New Roman" w:cs="Times New Roman" w:eastAsia="Times New Roman" w:hAnsi="Times New Roman"/>
                <w:b/>
                <w:bCs/>
                <w:color w:val="000000"/>
                <w:sz w:val="20"/>
                <w:szCs w:val="20"/>
              </w:rPr>
              <w:t xml:space="preserve">% Change</w:t>
            </w:r>
          </w:p>
        </w:tc>
        <w:tc>
          <w:tcPr>
            <w:tcW w:type="dxa" w:w="1337"/>
            <w:tcBorders>
              <w:top w:val="single" w:color="1A305B" w:sz="1"/>
              <w:left w:val="single" w:color="1A305B" w:sz="1"/>
              <w:bottom w:val="single" w:color="1A305B" w:sz="1"/>
              <w:right w:val="single" w:color="1A305B" w:sz="1"/>
            </w:tcBorders>
            <w:shd w:fill="FFFFFF" w:color="auto" w:val="clear"/>
            <w:tcMar>
              <w:top w:type="dxa" w:w="61"/>
              <w:left w:type="dxa" w:w="100"/>
              <w:bottom w:type="dxa" w:w="61"/>
              <w:right w:type="dxa" w:w="100"/>
            </w:tcMar>
          </w:tcPr>
          <w:p>
            <w:pPr>
              <w:jc w:val="center"/>
            </w:pPr>
            <w:r>
              <w:rPr>
                <w:rFonts w:ascii="Times New Roman" w:cs="Times New Roman" w:eastAsia="Times New Roman" w:hAnsi="Times New Roman"/>
                <w:b/>
                <w:bCs/>
                <w:color w:val="000000"/>
                <w:sz w:val="20"/>
                <w:szCs w:val="20"/>
              </w:rPr>
              <w:t xml:space="preserve">Total Employment</w:t>
            </w:r>
          </w:p>
        </w:tc>
        <w:tc>
          <w:tcPr>
            <w:tcW w:type="dxa" w:w="1337"/>
            <w:tcBorders>
              <w:top w:val="single" w:color="1A305B" w:sz="1"/>
              <w:left w:val="single" w:color="1A305B" w:sz="1"/>
              <w:bottom w:val="single" w:color="1A305B" w:sz="1"/>
              <w:right w:val="single" w:color="1A305B" w:sz="1"/>
            </w:tcBorders>
            <w:shd w:fill="FFFFFF" w:color="auto" w:val="clear"/>
            <w:tcMar>
              <w:top w:type="dxa" w:w="61"/>
              <w:left w:type="dxa" w:w="100"/>
              <w:bottom w:type="dxa" w:w="61"/>
              <w:right w:type="dxa" w:w="100"/>
            </w:tcMar>
          </w:tcPr>
          <w:p>
            <w:pPr>
              <w:jc w:val="center"/>
            </w:pPr>
            <w:r>
              <w:rPr>
                <w:rFonts w:ascii="Times New Roman" w:cs="Times New Roman" w:eastAsia="Times New Roman" w:hAnsi="Times New Roman"/>
                <w:b/>
                <w:bCs/>
                <w:color w:val="000000"/>
                <w:sz w:val="20"/>
                <w:szCs w:val="20"/>
              </w:rPr>
              <w:t xml:space="preserve">% Change</w:t>
            </w:r>
          </w:p>
        </w:tc>
        <w:tc>
          <w:tcPr>
            <w:tcW w:type="dxa" w:w="1337"/>
            <w:tcBorders>
              <w:top w:val="single" w:color="1A305B" w:sz="1"/>
              <w:left w:val="single" w:color="1A305B" w:sz="1"/>
              <w:bottom w:val="single" w:color="1A305B" w:sz="1"/>
              <w:right w:val="single" w:color="1A305B" w:sz="1"/>
            </w:tcBorders>
            <w:shd w:fill="FFFFFF" w:color="auto" w:val="clear"/>
            <w:tcMar>
              <w:top w:type="dxa" w:w="61"/>
              <w:left w:type="dxa" w:w="100"/>
              <w:bottom w:type="dxa" w:w="61"/>
              <w:right w:type="dxa" w:w="100"/>
            </w:tcMar>
          </w:tcPr>
          <w:p>
            <w:pPr>
              <w:jc w:val="center"/>
            </w:pPr>
            <w:r>
              <w:rPr>
                <w:rFonts w:ascii="Times New Roman" w:cs="Times New Roman" w:eastAsia="Times New Roman" w:hAnsi="Times New Roman"/>
                <w:b/>
                <w:bCs/>
                <w:color w:val="000000"/>
                <w:sz w:val="20"/>
                <w:szCs w:val="20"/>
              </w:rPr>
              <w:t xml:space="preserve">Total Employment</w:t>
            </w:r>
          </w:p>
        </w:tc>
        <w:tc>
          <w:tcPr>
            <w:tcW w:type="dxa" w:w="1337"/>
            <w:tcBorders>
              <w:top w:val="single" w:color="1A305B" w:sz="1"/>
              <w:left w:val="single" w:color="1A305B" w:sz="1"/>
              <w:bottom w:val="single" w:color="1A305B" w:sz="1"/>
              <w:right w:val="single" w:color="1A305B" w:sz="1"/>
            </w:tcBorders>
            <w:shd w:fill="FFFFFF" w:color="auto" w:val="clear"/>
            <w:tcMar>
              <w:top w:type="dxa" w:w="61"/>
              <w:left w:type="dxa" w:w="100"/>
              <w:bottom w:type="dxa" w:w="61"/>
              <w:right w:type="dxa" w:w="100"/>
            </w:tcMar>
          </w:tcPr>
          <w:p>
            <w:pPr>
              <w:jc w:val="center"/>
            </w:pPr>
            <w:r>
              <w:rPr>
                <w:rFonts w:ascii="Times New Roman" w:cs="Times New Roman" w:eastAsia="Times New Roman" w:hAnsi="Times New Roman"/>
                <w:b/>
                <w:bCs/>
                <w:color w:val="000000"/>
                <w:sz w:val="20"/>
                <w:szCs w:val="20"/>
              </w:rPr>
              <w:t xml:space="preserve">% Change</w:t>
            </w:r>
          </w:p>
        </w:tc>
      </w:tr>
      <w:tr>
        <w:tc>
          <w:tcPr>
            <w:tcW w:type="dxa" w:w="1337"/>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color w:val="000000"/>
                <w:sz w:val="20"/>
                <w:szCs w:val="20"/>
              </w:rPr>
              <w:t xml:space="preserve">2015</w:t>
            </w:r>
          </w:p>
        </w:tc>
        <w:tc>
          <w:tcPr>
            <w:tcW w:type="dxa" w:w="1337"/>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color w:val="000000"/>
                <w:sz w:val="20"/>
                <w:szCs w:val="20"/>
              </w:rPr>
              <w:t xml:space="preserve">75,477</w:t>
            </w:r>
          </w:p>
        </w:tc>
        <w:tc>
          <w:tcPr>
            <w:tcW w:type="dxa" w:w="1337"/>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color w:val="000000"/>
                <w:sz w:val="20"/>
                <w:szCs w:val="20"/>
              </w:rPr>
              <w:t xml:space="preserve">—</w:t>
            </w:r>
          </w:p>
        </w:tc>
        <w:tc>
          <w:tcPr>
            <w:tcW w:type="dxa" w:w="1337"/>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color w:val="000000"/>
                <w:sz w:val="20"/>
                <w:szCs w:val="20"/>
              </w:rPr>
              <w:t xml:space="preserve">159,129</w:t>
            </w:r>
          </w:p>
        </w:tc>
        <w:tc>
          <w:tcPr>
            <w:tcW w:type="dxa" w:w="1337"/>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color w:val="000000"/>
                <w:sz w:val="20"/>
                <w:szCs w:val="20"/>
              </w:rPr>
              <w:t xml:space="preserve">—</w:t>
            </w:r>
          </w:p>
        </w:tc>
        <w:tc>
          <w:tcPr>
            <w:tcW w:type="dxa" w:w="1337"/>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color w:val="000000"/>
                <w:sz w:val="20"/>
                <w:szCs w:val="20"/>
              </w:rPr>
              <w:t xml:space="preserve">239,574</w:t>
            </w:r>
          </w:p>
        </w:tc>
        <w:tc>
          <w:tcPr>
            <w:tcW w:type="dxa" w:w="1337"/>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color w:val="000000"/>
                <w:sz w:val="20"/>
                <w:szCs w:val="20"/>
              </w:rPr>
              <w:t xml:space="preserve">—</w:t>
            </w:r>
          </w:p>
        </w:tc>
      </w:tr>
      <w:tr>
        <w:tc>
          <w:tcPr>
            <w:tcW w:type="dxa" w:w="1337"/>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color w:val="000000"/>
                <w:sz w:val="20"/>
                <w:szCs w:val="20"/>
              </w:rPr>
              <w:t xml:space="preserve">2016</w:t>
            </w:r>
          </w:p>
        </w:tc>
        <w:tc>
          <w:tcPr>
            <w:tcW w:type="dxa" w:w="1337"/>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color w:val="000000"/>
                <w:sz w:val="20"/>
                <w:szCs w:val="20"/>
              </w:rPr>
              <w:t xml:space="preserve">81,360</w:t>
            </w:r>
          </w:p>
        </w:tc>
        <w:tc>
          <w:tcPr>
            <w:tcW w:type="dxa" w:w="1337"/>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color w:val="000000"/>
                <w:sz w:val="20"/>
                <w:szCs w:val="20"/>
              </w:rPr>
              <w:t xml:space="preserve">7.8%</w:t>
            </w:r>
          </w:p>
        </w:tc>
        <w:tc>
          <w:tcPr>
            <w:tcW w:type="dxa" w:w="1337"/>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color w:val="000000"/>
                <w:sz w:val="20"/>
                <w:szCs w:val="20"/>
              </w:rPr>
              <w:t xml:space="preserve">165,171</w:t>
            </w:r>
          </w:p>
        </w:tc>
        <w:tc>
          <w:tcPr>
            <w:tcW w:type="dxa" w:w="1337"/>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color w:val="000000"/>
                <w:sz w:val="20"/>
                <w:szCs w:val="20"/>
              </w:rPr>
              <w:t xml:space="preserve">3.8%</w:t>
            </w:r>
          </w:p>
        </w:tc>
        <w:tc>
          <w:tcPr>
            <w:tcW w:type="dxa" w:w="1337"/>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color w:val="000000"/>
                <w:sz w:val="20"/>
                <w:szCs w:val="20"/>
              </w:rPr>
              <w:t xml:space="preserve">246,072</w:t>
            </w:r>
          </w:p>
        </w:tc>
        <w:tc>
          <w:tcPr>
            <w:tcW w:type="dxa" w:w="1337"/>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color w:val="000000"/>
                <w:sz w:val="20"/>
                <w:szCs w:val="20"/>
              </w:rPr>
              <w:t xml:space="preserve">2.7%</w:t>
            </w:r>
          </w:p>
        </w:tc>
      </w:tr>
      <w:tr>
        <w:tc>
          <w:tcPr>
            <w:tcW w:type="dxa" w:w="1337"/>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color w:val="000000"/>
                <w:sz w:val="20"/>
                <w:szCs w:val="20"/>
              </w:rPr>
              <w:t xml:space="preserve">2017</w:t>
            </w:r>
          </w:p>
        </w:tc>
        <w:tc>
          <w:tcPr>
            <w:tcW w:type="dxa" w:w="1337"/>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color w:val="000000"/>
                <w:sz w:val="20"/>
                <w:szCs w:val="20"/>
              </w:rPr>
              <w:t xml:space="preserve">84,246</w:t>
            </w:r>
          </w:p>
        </w:tc>
        <w:tc>
          <w:tcPr>
            <w:tcW w:type="dxa" w:w="1337"/>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color w:val="000000"/>
                <w:sz w:val="20"/>
                <w:szCs w:val="20"/>
              </w:rPr>
              <w:t xml:space="preserve">3.5%</w:t>
            </w:r>
          </w:p>
        </w:tc>
        <w:tc>
          <w:tcPr>
            <w:tcW w:type="dxa" w:w="1337"/>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color w:val="000000"/>
                <w:sz w:val="20"/>
                <w:szCs w:val="20"/>
              </w:rPr>
              <w:t xml:space="preserve">170,860</w:t>
            </w:r>
          </w:p>
        </w:tc>
        <w:tc>
          <w:tcPr>
            <w:tcW w:type="dxa" w:w="1337"/>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color w:val="000000"/>
                <w:sz w:val="20"/>
                <w:szCs w:val="20"/>
              </w:rPr>
              <w:t xml:space="preserve">3.4%</w:t>
            </w:r>
          </w:p>
        </w:tc>
        <w:tc>
          <w:tcPr>
            <w:tcW w:type="dxa" w:w="1337"/>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color w:val="000000"/>
                <w:sz w:val="20"/>
                <w:szCs w:val="20"/>
              </w:rPr>
              <w:t xml:space="preserve">255,138</w:t>
            </w:r>
          </w:p>
        </w:tc>
        <w:tc>
          <w:tcPr>
            <w:tcW w:type="dxa" w:w="1337"/>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color w:val="000000"/>
                <w:sz w:val="20"/>
                <w:szCs w:val="20"/>
              </w:rPr>
              <w:t xml:space="preserve">3.7%</w:t>
            </w:r>
          </w:p>
        </w:tc>
      </w:tr>
      <w:tr>
        <w:tc>
          <w:tcPr>
            <w:tcW w:type="dxa" w:w="1337"/>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color w:val="000000"/>
                <w:sz w:val="20"/>
                <w:szCs w:val="20"/>
              </w:rPr>
              <w:t xml:space="preserve">2018</w:t>
            </w:r>
          </w:p>
        </w:tc>
        <w:tc>
          <w:tcPr>
            <w:tcW w:type="dxa" w:w="1337"/>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color w:val="000000"/>
                <w:sz w:val="20"/>
                <w:szCs w:val="20"/>
              </w:rPr>
              <w:t xml:space="preserve">86,957</w:t>
            </w:r>
          </w:p>
        </w:tc>
        <w:tc>
          <w:tcPr>
            <w:tcW w:type="dxa" w:w="1337"/>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color w:val="000000"/>
                <w:sz w:val="20"/>
                <w:szCs w:val="20"/>
              </w:rPr>
              <w:t xml:space="preserve">3.2%</w:t>
            </w:r>
          </w:p>
        </w:tc>
        <w:tc>
          <w:tcPr>
            <w:tcW w:type="dxa" w:w="1337"/>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color w:val="000000"/>
                <w:sz w:val="20"/>
                <w:szCs w:val="20"/>
              </w:rPr>
              <w:t xml:space="preserve">175,599</w:t>
            </w:r>
          </w:p>
        </w:tc>
        <w:tc>
          <w:tcPr>
            <w:tcW w:type="dxa" w:w="1337"/>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color w:val="000000"/>
                <w:sz w:val="20"/>
                <w:szCs w:val="20"/>
              </w:rPr>
              <w:t xml:space="preserve">2.8%</w:t>
            </w:r>
          </w:p>
        </w:tc>
        <w:tc>
          <w:tcPr>
            <w:tcW w:type="dxa" w:w="1337"/>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color w:val="000000"/>
                <w:sz w:val="20"/>
                <w:szCs w:val="20"/>
              </w:rPr>
              <w:t xml:space="preserve">261,103</w:t>
            </w:r>
          </w:p>
        </w:tc>
        <w:tc>
          <w:tcPr>
            <w:tcW w:type="dxa" w:w="1337"/>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color w:val="000000"/>
                <w:sz w:val="20"/>
                <w:szCs w:val="20"/>
              </w:rPr>
              <w:t xml:space="preserve">2.3%</w:t>
            </w:r>
          </w:p>
        </w:tc>
      </w:tr>
      <w:tr>
        <w:tc>
          <w:tcPr>
            <w:tcW w:type="dxa" w:w="1337"/>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color w:val="000000"/>
                <w:sz w:val="20"/>
                <w:szCs w:val="20"/>
              </w:rPr>
              <w:t xml:space="preserve">2019</w:t>
            </w:r>
          </w:p>
        </w:tc>
        <w:tc>
          <w:tcPr>
            <w:tcW w:type="dxa" w:w="1337"/>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color w:val="000000"/>
                <w:sz w:val="20"/>
                <w:szCs w:val="20"/>
              </w:rPr>
              <w:t xml:space="preserve">88,832</w:t>
            </w:r>
          </w:p>
        </w:tc>
        <w:tc>
          <w:tcPr>
            <w:tcW w:type="dxa" w:w="1337"/>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color w:val="000000"/>
                <w:sz w:val="20"/>
                <w:szCs w:val="20"/>
              </w:rPr>
              <w:t xml:space="preserve">2.2%</w:t>
            </w:r>
          </w:p>
        </w:tc>
        <w:tc>
          <w:tcPr>
            <w:tcW w:type="dxa" w:w="1337"/>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color w:val="000000"/>
                <w:sz w:val="20"/>
                <w:szCs w:val="20"/>
              </w:rPr>
              <w:t xml:space="preserve">180,200</w:t>
            </w:r>
          </w:p>
        </w:tc>
        <w:tc>
          <w:tcPr>
            <w:tcW w:type="dxa" w:w="1337"/>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color w:val="000000"/>
                <w:sz w:val="20"/>
                <w:szCs w:val="20"/>
              </w:rPr>
              <w:t xml:space="preserve">2.6%</w:t>
            </w:r>
          </w:p>
        </w:tc>
        <w:tc>
          <w:tcPr>
            <w:tcW w:type="dxa" w:w="1337"/>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color w:val="000000"/>
                <w:sz w:val="20"/>
                <w:szCs w:val="20"/>
              </w:rPr>
              <w:t xml:space="preserve">266,248</w:t>
            </w:r>
          </w:p>
        </w:tc>
        <w:tc>
          <w:tcPr>
            <w:tcW w:type="dxa" w:w="1337"/>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color w:val="000000"/>
                <w:sz w:val="20"/>
                <w:szCs w:val="20"/>
              </w:rPr>
              <w:t xml:space="preserve">2.0%</w:t>
            </w:r>
          </w:p>
        </w:tc>
      </w:tr>
      <w:tr>
        <w:tc>
          <w:tcPr>
            <w:tcW w:type="dxa" w:w="1337"/>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color w:val="000000"/>
                <w:sz w:val="20"/>
                <w:szCs w:val="20"/>
              </w:rPr>
              <w:t xml:space="preserve">2020</w:t>
            </w:r>
          </w:p>
        </w:tc>
        <w:tc>
          <w:tcPr>
            <w:tcW w:type="dxa" w:w="1337"/>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color w:val="000000"/>
                <w:sz w:val="20"/>
                <w:szCs w:val="20"/>
              </w:rPr>
              <w:t xml:space="preserve">84,205</w:t>
            </w:r>
          </w:p>
        </w:tc>
        <w:tc>
          <w:tcPr>
            <w:tcW w:type="dxa" w:w="1337"/>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color w:val="000000"/>
                <w:sz w:val="20"/>
                <w:szCs w:val="20"/>
              </w:rPr>
              <w:t xml:space="preserve">(5.2%)</w:t>
            </w:r>
          </w:p>
        </w:tc>
        <w:tc>
          <w:tcPr>
            <w:tcW w:type="dxa" w:w="1337"/>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color w:val="000000"/>
                <w:sz w:val="20"/>
                <w:szCs w:val="20"/>
              </w:rPr>
              <w:t xml:space="preserve">170,749</w:t>
            </w:r>
          </w:p>
        </w:tc>
        <w:tc>
          <w:tcPr>
            <w:tcW w:type="dxa" w:w="1337"/>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color w:val="000000"/>
                <w:sz w:val="20"/>
                <w:szCs w:val="20"/>
              </w:rPr>
              <w:t xml:space="preserve">(5.2%)</w:t>
            </w:r>
          </w:p>
        </w:tc>
        <w:tc>
          <w:tcPr>
            <w:tcW w:type="dxa" w:w="1337"/>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color w:val="000000"/>
                <w:sz w:val="20"/>
                <w:szCs w:val="20"/>
              </w:rPr>
              <w:t xml:space="preserve">253,039</w:t>
            </w:r>
          </w:p>
        </w:tc>
        <w:tc>
          <w:tcPr>
            <w:tcW w:type="dxa" w:w="1337"/>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color w:val="000000"/>
                <w:sz w:val="20"/>
                <w:szCs w:val="20"/>
              </w:rPr>
              <w:t xml:space="preserve">(5.0%)</w:t>
            </w:r>
          </w:p>
        </w:tc>
      </w:tr>
      <w:tr>
        <w:tc>
          <w:tcPr>
            <w:tcW w:type="dxa" w:w="1337"/>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color w:val="000000"/>
                <w:sz w:val="20"/>
                <w:szCs w:val="20"/>
              </w:rPr>
              <w:t xml:space="preserve">2021</w:t>
            </w:r>
          </w:p>
        </w:tc>
        <w:tc>
          <w:tcPr>
            <w:tcW w:type="dxa" w:w="1337"/>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color w:val="000000"/>
                <w:sz w:val="20"/>
                <w:szCs w:val="20"/>
              </w:rPr>
              <w:t xml:space="preserve">86,366</w:t>
            </w:r>
          </w:p>
        </w:tc>
        <w:tc>
          <w:tcPr>
            <w:tcW w:type="dxa" w:w="1337"/>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color w:val="000000"/>
                <w:sz w:val="20"/>
                <w:szCs w:val="20"/>
              </w:rPr>
              <w:t xml:space="preserve">2.6%</w:t>
            </w:r>
          </w:p>
        </w:tc>
        <w:tc>
          <w:tcPr>
            <w:tcW w:type="dxa" w:w="1337"/>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color w:val="000000"/>
                <w:sz w:val="20"/>
                <w:szCs w:val="20"/>
              </w:rPr>
              <w:t xml:space="preserve">176,355</w:t>
            </w:r>
          </w:p>
        </w:tc>
        <w:tc>
          <w:tcPr>
            <w:tcW w:type="dxa" w:w="1337"/>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color w:val="000000"/>
                <w:sz w:val="20"/>
                <w:szCs w:val="20"/>
              </w:rPr>
              <w:t xml:space="preserve">3.3%</w:t>
            </w:r>
          </w:p>
        </w:tc>
        <w:tc>
          <w:tcPr>
            <w:tcW w:type="dxa" w:w="1337"/>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color w:val="000000"/>
                <w:sz w:val="20"/>
                <w:szCs w:val="20"/>
              </w:rPr>
              <w:t xml:space="preserve">261,834</w:t>
            </w:r>
          </w:p>
        </w:tc>
        <w:tc>
          <w:tcPr>
            <w:tcW w:type="dxa" w:w="1337"/>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color w:val="000000"/>
                <w:sz w:val="20"/>
                <w:szCs w:val="20"/>
              </w:rPr>
              <w:t xml:space="preserve">3.5%</w:t>
            </w:r>
          </w:p>
        </w:tc>
      </w:tr>
      <w:tr>
        <w:tc>
          <w:tcPr>
            <w:tcW w:type="dxa" w:w="1337"/>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color w:val="000000"/>
                <w:sz w:val="20"/>
                <w:szCs w:val="20"/>
              </w:rPr>
              <w:t xml:space="preserve">2022</w:t>
            </w:r>
          </w:p>
        </w:tc>
        <w:tc>
          <w:tcPr>
            <w:tcW w:type="dxa" w:w="1337"/>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color w:val="000000"/>
                <w:sz w:val="20"/>
                <w:szCs w:val="20"/>
              </w:rPr>
              <w:t xml:space="preserve">89,259</w:t>
            </w:r>
          </w:p>
        </w:tc>
        <w:tc>
          <w:tcPr>
            <w:tcW w:type="dxa" w:w="1337"/>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color w:val="000000"/>
                <w:sz w:val="20"/>
                <w:szCs w:val="20"/>
              </w:rPr>
              <w:t xml:space="preserve">3.3%</w:t>
            </w:r>
          </w:p>
        </w:tc>
        <w:tc>
          <w:tcPr>
            <w:tcW w:type="dxa" w:w="1337"/>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color w:val="000000"/>
                <w:sz w:val="20"/>
                <w:szCs w:val="20"/>
              </w:rPr>
              <w:t xml:space="preserve">182,161</w:t>
            </w:r>
          </w:p>
        </w:tc>
        <w:tc>
          <w:tcPr>
            <w:tcW w:type="dxa" w:w="1337"/>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color w:val="000000"/>
                <w:sz w:val="20"/>
                <w:szCs w:val="20"/>
              </w:rPr>
              <w:t xml:space="preserve">3.3%</w:t>
            </w:r>
          </w:p>
        </w:tc>
        <w:tc>
          <w:tcPr>
            <w:tcW w:type="dxa" w:w="1337"/>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color w:val="000000"/>
                <w:sz w:val="20"/>
                <w:szCs w:val="20"/>
              </w:rPr>
              <w:t xml:space="preserve">269,385</w:t>
            </w:r>
          </w:p>
        </w:tc>
        <w:tc>
          <w:tcPr>
            <w:tcW w:type="dxa" w:w="1337"/>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color w:val="000000"/>
                <w:sz w:val="20"/>
                <w:szCs w:val="20"/>
              </w:rPr>
              <w:t xml:space="preserve">2.9%</w:t>
            </w:r>
          </w:p>
        </w:tc>
      </w:tr>
      <w:tr>
        <w:tc>
          <w:tcPr>
            <w:tcW w:type="dxa" w:w="1337"/>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color w:val="000000"/>
                <w:sz w:val="20"/>
                <w:szCs w:val="20"/>
              </w:rPr>
              <w:t xml:space="preserve">2023</w:t>
            </w:r>
          </w:p>
        </w:tc>
        <w:tc>
          <w:tcPr>
            <w:tcW w:type="dxa" w:w="1337"/>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color w:val="000000"/>
                <w:sz w:val="20"/>
                <w:szCs w:val="20"/>
              </w:rPr>
              <w:t xml:space="preserve">92,653</w:t>
            </w:r>
          </w:p>
        </w:tc>
        <w:tc>
          <w:tcPr>
            <w:tcW w:type="dxa" w:w="1337"/>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color w:val="000000"/>
                <w:sz w:val="20"/>
                <w:szCs w:val="20"/>
              </w:rPr>
              <w:t xml:space="preserve">3.8%</w:t>
            </w:r>
          </w:p>
        </w:tc>
        <w:tc>
          <w:tcPr>
            <w:tcW w:type="dxa" w:w="1337"/>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color w:val="000000"/>
                <w:sz w:val="20"/>
                <w:szCs w:val="20"/>
              </w:rPr>
              <w:t xml:space="preserve">188,699</w:t>
            </w:r>
          </w:p>
        </w:tc>
        <w:tc>
          <w:tcPr>
            <w:tcW w:type="dxa" w:w="1337"/>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color w:val="000000"/>
                <w:sz w:val="20"/>
                <w:szCs w:val="20"/>
              </w:rPr>
              <w:t xml:space="preserve">3.6%</w:t>
            </w:r>
          </w:p>
        </w:tc>
        <w:tc>
          <w:tcPr>
            <w:tcW w:type="dxa" w:w="1337"/>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color w:val="000000"/>
                <w:sz w:val="20"/>
                <w:szCs w:val="20"/>
              </w:rPr>
              <w:t xml:space="preserve">279,201</w:t>
            </w:r>
          </w:p>
        </w:tc>
        <w:tc>
          <w:tcPr>
            <w:tcW w:type="dxa" w:w="1337"/>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color w:val="000000"/>
                <w:sz w:val="20"/>
                <w:szCs w:val="20"/>
              </w:rPr>
              <w:t xml:space="preserve">3.6%</w:t>
            </w:r>
          </w:p>
        </w:tc>
      </w:tr>
      <w:tr>
        <w:tc>
          <w:tcPr>
            <w:tcW w:type="dxa" w:w="1337"/>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color w:val="000000"/>
                <w:sz w:val="20"/>
                <w:szCs w:val="20"/>
              </w:rPr>
              <w:t xml:space="preserve">2024</w:t>
            </w:r>
          </w:p>
        </w:tc>
        <w:tc>
          <w:tcPr>
            <w:tcW w:type="dxa" w:w="1337"/>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color w:val="000000"/>
                <w:sz w:val="20"/>
                <w:szCs w:val="20"/>
              </w:rPr>
              <w:t xml:space="preserve">95,512</w:t>
            </w:r>
          </w:p>
        </w:tc>
        <w:tc>
          <w:tcPr>
            <w:tcW w:type="dxa" w:w="1337"/>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color w:val="000000"/>
                <w:sz w:val="20"/>
                <w:szCs w:val="20"/>
              </w:rPr>
              <w:t xml:space="preserve">3.1%</w:t>
            </w:r>
          </w:p>
        </w:tc>
        <w:tc>
          <w:tcPr>
            <w:tcW w:type="dxa" w:w="1337"/>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color w:val="000000"/>
                <w:sz w:val="20"/>
                <w:szCs w:val="20"/>
              </w:rPr>
              <w:t xml:space="preserve">193,549</w:t>
            </w:r>
          </w:p>
        </w:tc>
        <w:tc>
          <w:tcPr>
            <w:tcW w:type="dxa" w:w="1337"/>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color w:val="000000"/>
                <w:sz w:val="20"/>
                <w:szCs w:val="20"/>
              </w:rPr>
              <w:t xml:space="preserve">2.6%</w:t>
            </w:r>
          </w:p>
        </w:tc>
        <w:tc>
          <w:tcPr>
            <w:tcW w:type="dxa" w:w="1337"/>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color w:val="000000"/>
                <w:sz w:val="20"/>
                <w:szCs w:val="20"/>
              </w:rPr>
              <w:t xml:space="preserve">284,941</w:t>
            </w:r>
          </w:p>
        </w:tc>
        <w:tc>
          <w:tcPr>
            <w:tcW w:type="dxa" w:w="1337"/>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color w:val="000000"/>
                <w:sz w:val="20"/>
                <w:szCs w:val="20"/>
              </w:rPr>
              <w:t xml:space="preserve">2.1%</w:t>
            </w:r>
          </w:p>
        </w:tc>
      </w:tr>
      <w:tr>
        <w:tc>
          <w:tcPr>
            <w:tcW w:type="dxa" w:w="1337"/>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color w:val="000000"/>
                <w:sz w:val="20"/>
                <w:szCs w:val="20"/>
              </w:rPr>
              <w:t xml:space="preserve">2025</w:t>
            </w:r>
          </w:p>
        </w:tc>
        <w:tc>
          <w:tcPr>
            <w:tcW w:type="dxa" w:w="1337"/>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color w:val="000000"/>
                <w:sz w:val="20"/>
                <w:szCs w:val="20"/>
              </w:rPr>
              <w:t xml:space="preserve">96,934</w:t>
            </w:r>
          </w:p>
        </w:tc>
        <w:tc>
          <w:tcPr>
            <w:tcW w:type="dxa" w:w="1337"/>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color w:val="000000"/>
                <w:sz w:val="20"/>
                <w:szCs w:val="20"/>
              </w:rPr>
              <w:t xml:space="preserve">1.5%</w:t>
            </w:r>
          </w:p>
        </w:tc>
        <w:tc>
          <w:tcPr>
            <w:tcW w:type="dxa" w:w="1337"/>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color w:val="000000"/>
                <w:sz w:val="20"/>
                <w:szCs w:val="20"/>
              </w:rPr>
              <w:t xml:space="preserve">196,430</w:t>
            </w:r>
          </w:p>
        </w:tc>
        <w:tc>
          <w:tcPr>
            <w:tcW w:type="dxa" w:w="1337"/>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color w:val="000000"/>
                <w:sz w:val="20"/>
                <w:szCs w:val="20"/>
              </w:rPr>
              <w:t xml:space="preserve">1.5%</w:t>
            </w:r>
          </w:p>
        </w:tc>
        <w:tc>
          <w:tcPr>
            <w:tcW w:type="dxa" w:w="1337"/>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color w:val="000000"/>
                <w:sz w:val="20"/>
                <w:szCs w:val="20"/>
              </w:rPr>
              <w:t xml:space="preserve">287,683</w:t>
            </w:r>
          </w:p>
        </w:tc>
        <w:tc>
          <w:tcPr>
            <w:tcW w:type="dxa" w:w="1337"/>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color w:val="000000"/>
                <w:sz w:val="20"/>
                <w:szCs w:val="20"/>
              </w:rPr>
              <w:t xml:space="preserve">1.0%</w:t>
            </w:r>
          </w:p>
        </w:tc>
      </w:tr>
      <w:tr>
        <w:tc>
          <w:tcPr>
            <w:tcW w:type="dxa" w:w="1337"/>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color w:val="000000"/>
                <w:sz w:val="20"/>
                <w:szCs w:val="20"/>
              </w:rPr>
              <w:t xml:space="preserve">2026 YTD</w:t>
            </w:r>
          </w:p>
        </w:tc>
        <w:tc>
          <w:tcPr>
            <w:tcW w:type="dxa" w:w="1337"/>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color w:val="000000"/>
                <w:sz w:val="20"/>
                <w:szCs w:val="20"/>
              </w:rPr>
              <w:t xml:space="preserve">95,482</w:t>
            </w:r>
          </w:p>
        </w:tc>
        <w:tc>
          <w:tcPr>
            <w:tcW w:type="dxa" w:w="1337"/>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color w:val="000000"/>
                <w:sz w:val="20"/>
                <w:szCs w:val="20"/>
              </w:rPr>
              <w:t xml:space="preserve">(1.5%)</w:t>
            </w:r>
          </w:p>
        </w:tc>
        <w:tc>
          <w:tcPr>
            <w:tcW w:type="dxa" w:w="1337"/>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color w:val="000000"/>
                <w:sz w:val="20"/>
                <w:szCs w:val="20"/>
              </w:rPr>
              <w:t xml:space="preserve">193,489</w:t>
            </w:r>
          </w:p>
        </w:tc>
        <w:tc>
          <w:tcPr>
            <w:tcW w:type="dxa" w:w="1337"/>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color w:val="000000"/>
                <w:sz w:val="20"/>
                <w:szCs w:val="20"/>
              </w:rPr>
              <w:t xml:space="preserve">(1.5%)</w:t>
            </w:r>
          </w:p>
        </w:tc>
        <w:tc>
          <w:tcPr>
            <w:tcW w:type="dxa" w:w="1337"/>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color w:val="000000"/>
                <w:sz w:val="20"/>
                <w:szCs w:val="20"/>
              </w:rPr>
              <w:t xml:space="preserve">—</w:t>
            </w:r>
          </w:p>
        </w:tc>
        <w:tc>
          <w:tcPr>
            <w:tcW w:type="dxa" w:w="1337"/>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color w:val="000000"/>
                <w:sz w:val="20"/>
                <w:szCs w:val="20"/>
              </w:rPr>
              <w:t xml:space="preserve">—</w:t>
            </w:r>
          </w:p>
        </w:tc>
      </w:tr>
    </w:tbl>
    <w:p>
      <w:pPr>
        <w:spacing w:before="40"/>
      </w:pPr>
      <w:r>
        <w:rPr>
          <w:rFonts w:ascii="Times New Roman" w:cs="Times New Roman" w:eastAsia="Times New Roman" w:hAnsi="Times New Roman"/>
          <w:color w:val="000000"/>
          <w:sz w:val="20"/>
          <w:szCs w:val="20"/>
        </w:rPr>
        <w:t xml:space="preserve">Source: U.S. Bureau of Labor Statistics, Local Area Unemployment Statistics (LAUS)</w:t>
      </w:r>
    </w:p>
    <w:p>
      <w:pPr>
        <w:spacing w:before="160"/>
      </w:pPr>
    </w:p>
    <w:p>
      <w:pPr>
        <w:pStyle w:val="Heading1"/>
        <w:spacing w:after="0" w:before="0"/>
      </w:pPr>
      <w:r>
        <w:rPr>
          <w:rFonts w:ascii="Times New Roman" w:cs="Times New Roman" w:eastAsia="Times New Roman" w:hAnsi="Times New Roman"/>
          <w:b/>
          <w:bCs/>
          <w:i w:val="false"/>
          <w:iCs w:val="false"/>
          <w:color w:val="000000"/>
          <w:sz w:val="24"/>
          <w:szCs w:val="24"/>
        </w:rPr>
        <w:t xml:space="preserve">Commuting Patterns</w:t>
      </w:r>
    </w:p>
    <w:p>
      <w:pPr>
        <w:spacing w:before="160"/>
      </w:pPr>
    </w:p>
    <w:tbl>
      <w:tblPr>
        <w:tblW w:type="dxa" w:w="9360"/>
        <w:jc w:val="center"/>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960"/>
        <w:gridCol w:w="2200"/>
        <w:gridCol w:w="2200"/>
      </w:tblGrid>
      <w:tr>
        <w:tc>
          <w:tcPr>
            <w:tcW w:type="dxa" w:w="9360"/>
            <w:gridSpan w:val="3"/>
            <w:tcBorders>
              <w:top w:val="single" w:color="1A305B" w:sz="1"/>
              <w:left w:val="single" w:color="1A305B" w:sz="1"/>
              <w:bottom w:val="single" w:color="1A305B" w:sz="1"/>
              <w:right w:val="single" w:color="1A305B" w:sz="1"/>
            </w:tcBorders>
            <w:shd w:fill="1A305B" w:color="auto" w:val="clear"/>
            <w:tcMar>
              <w:top w:type="dxa" w:w="61"/>
              <w:left w:type="dxa" w:w="100"/>
              <w:bottom w:type="dxa" w:w="61"/>
              <w:right w:type="dxa" w:w="100"/>
            </w:tcMar>
          </w:tcPr>
          <w:p>
            <w:pPr>
              <w:jc w:val="center"/>
            </w:pPr>
            <w:r>
              <w:rPr>
                <w:rFonts w:ascii="Times New Roman" w:cs="Times New Roman" w:eastAsia="Times New Roman" w:hAnsi="Times New Roman"/>
                <w:b/>
                <w:bCs/>
                <w:color w:val="FFFFFF"/>
                <w:sz w:val="20"/>
                <w:szCs w:val="20"/>
              </w:rPr>
              <w:t xml:space="preserve">Place of Work — Hamilton County, TN (183,372 workers)</w:t>
            </w:r>
          </w:p>
        </w:tc>
      </w:tr>
      <w:tr>
        <w:tc>
          <w:tcPr>
            <w:tcW w:type="dxa" w:w="4960"/>
            <w:tcBorders>
              <w:top w:val="single" w:color="1A305B" w:sz="1"/>
              <w:left w:val="single" w:color="1A305B" w:sz="1"/>
              <w:bottom w:val="single" w:color="1A305B" w:sz="1"/>
              <w:right w:val="single" w:color="1A305B" w:sz="1"/>
            </w:tcBorders>
            <w:shd w:fill="FFFFFF" w:color="auto" w:val="clear"/>
            <w:tcMar>
              <w:top w:type="dxa" w:w="61"/>
              <w:left w:type="dxa" w:w="100"/>
              <w:bottom w:type="dxa" w:w="61"/>
              <w:right w:type="dxa" w:w="100"/>
            </w:tcMar>
          </w:tcPr>
          <w:p>
            <w:pPr>
              <w:jc w:val="center"/>
            </w:pPr>
            <w:r>
              <w:rPr>
                <w:rFonts w:ascii="Times New Roman" w:cs="Times New Roman" w:eastAsia="Times New Roman" w:hAnsi="Times New Roman"/>
                <w:b/>
                <w:bCs/>
                <w:color w:val="000000"/>
                <w:sz w:val="20"/>
                <w:szCs w:val="20"/>
              </w:rPr>
              <w:t xml:space="preserve">Destination</w:t>
            </w:r>
          </w:p>
        </w:tc>
        <w:tc>
          <w:tcPr>
            <w:tcW w:type="dxa" w:w="2200"/>
            <w:tcBorders>
              <w:top w:val="single" w:color="1A305B" w:sz="1"/>
              <w:left w:val="single" w:color="1A305B" w:sz="1"/>
              <w:bottom w:val="single" w:color="1A305B" w:sz="1"/>
              <w:right w:val="single" w:color="1A305B" w:sz="1"/>
            </w:tcBorders>
            <w:shd w:fill="FFFFFF" w:color="auto" w:val="clear"/>
            <w:tcMar>
              <w:top w:type="dxa" w:w="61"/>
              <w:left w:type="dxa" w:w="100"/>
              <w:bottom w:type="dxa" w:w="61"/>
              <w:right w:type="dxa" w:w="100"/>
            </w:tcMar>
          </w:tcPr>
          <w:p>
            <w:pPr>
              <w:jc w:val="center"/>
            </w:pPr>
            <w:r>
              <w:rPr>
                <w:rFonts w:ascii="Times New Roman" w:cs="Times New Roman" w:eastAsia="Times New Roman" w:hAnsi="Times New Roman"/>
                <w:b/>
                <w:bCs/>
                <w:color w:val="000000"/>
                <w:sz w:val="20"/>
                <w:szCs w:val="20"/>
              </w:rPr>
              <w:t xml:space="preserve">Workers</w:t>
            </w:r>
          </w:p>
        </w:tc>
        <w:tc>
          <w:tcPr>
            <w:tcW w:type="dxa" w:w="2200"/>
            <w:tcBorders>
              <w:top w:val="single" w:color="1A305B" w:sz="1"/>
              <w:left w:val="single" w:color="1A305B" w:sz="1"/>
              <w:bottom w:val="single" w:color="1A305B" w:sz="1"/>
              <w:right w:val="single" w:color="1A305B" w:sz="1"/>
            </w:tcBorders>
            <w:shd w:fill="FFFFFF" w:color="auto" w:val="clear"/>
            <w:tcMar>
              <w:top w:type="dxa" w:w="61"/>
              <w:left w:type="dxa" w:w="100"/>
              <w:bottom w:type="dxa" w:w="61"/>
              <w:right w:type="dxa" w:w="100"/>
            </w:tcMar>
          </w:tcPr>
          <w:p>
            <w:pPr>
              <w:jc w:val="center"/>
            </w:pPr>
            <w:r>
              <w:rPr>
                <w:rFonts w:ascii="Times New Roman" w:cs="Times New Roman" w:eastAsia="Times New Roman" w:hAnsi="Times New Roman"/>
                <w:b/>
                <w:bCs/>
                <w:color w:val="000000"/>
                <w:sz w:val="20"/>
                <w:szCs w:val="20"/>
              </w:rPr>
              <w:t xml:space="preserve">Share</w:t>
            </w:r>
          </w:p>
        </w:tc>
      </w:tr>
      <w:tr>
        <w:tc>
          <w:tcPr>
            <w:tcW w:type="dxa" w:w="4960"/>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color w:val="000000"/>
                <w:sz w:val="20"/>
                <w:szCs w:val="20"/>
              </w:rPr>
              <w:t xml:space="preserve">Worked in county of residence</w:t>
            </w:r>
          </w:p>
        </w:tc>
        <w:tc>
          <w:tcPr>
            <w:tcW w:type="dxa" w:w="2200"/>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color w:val="000000"/>
                <w:sz w:val="20"/>
                <w:szCs w:val="20"/>
              </w:rPr>
              <w:t xml:space="preserve">169,084</w:t>
            </w:r>
          </w:p>
        </w:tc>
        <w:tc>
          <w:tcPr>
            <w:tcW w:type="dxa" w:w="2200"/>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color w:val="000000"/>
                <w:sz w:val="20"/>
                <w:szCs w:val="20"/>
              </w:rPr>
              <w:t xml:space="preserve">92.2%</w:t>
            </w:r>
          </w:p>
        </w:tc>
      </w:tr>
      <w:tr>
        <w:tc>
          <w:tcPr>
            <w:tcW w:type="dxa" w:w="4960"/>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color w:val="000000"/>
                <w:sz w:val="20"/>
                <w:szCs w:val="20"/>
              </w:rPr>
              <w:t xml:space="preserve">Worked outside county of residence (same state)</w:t>
            </w:r>
          </w:p>
        </w:tc>
        <w:tc>
          <w:tcPr>
            <w:tcW w:type="dxa" w:w="2200"/>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color w:val="000000"/>
                <w:sz w:val="20"/>
                <w:szCs w:val="20"/>
              </w:rPr>
              <w:t xml:space="preserve">7,094</w:t>
            </w:r>
          </w:p>
        </w:tc>
        <w:tc>
          <w:tcPr>
            <w:tcW w:type="dxa" w:w="2200"/>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color w:val="000000"/>
                <w:sz w:val="20"/>
                <w:szCs w:val="20"/>
              </w:rPr>
              <w:t xml:space="preserve">3.9%</w:t>
            </w:r>
          </w:p>
        </w:tc>
      </w:tr>
      <w:tr>
        <w:tc>
          <w:tcPr>
            <w:tcW w:type="dxa" w:w="4960"/>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color w:val="000000"/>
                <w:sz w:val="20"/>
                <w:szCs w:val="20"/>
              </w:rPr>
              <w:t xml:space="preserve">Worked outside state of residence</w:t>
            </w:r>
          </w:p>
        </w:tc>
        <w:tc>
          <w:tcPr>
            <w:tcW w:type="dxa" w:w="2200"/>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color w:val="000000"/>
                <w:sz w:val="20"/>
                <w:szCs w:val="20"/>
              </w:rPr>
              <w:t xml:space="preserve">7,194</w:t>
            </w:r>
          </w:p>
        </w:tc>
        <w:tc>
          <w:tcPr>
            <w:tcW w:type="dxa" w:w="2200"/>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color w:val="000000"/>
                <w:sz w:val="20"/>
                <w:szCs w:val="20"/>
              </w:rPr>
              <w:t xml:space="preserve">3.9%</w:t>
            </w:r>
          </w:p>
        </w:tc>
      </w:tr>
    </w:tbl>
    <w:p>
      <w:pPr>
        <w:spacing w:before="160"/>
      </w:pPr>
    </w:p>
    <w:tbl>
      <w:tblPr>
        <w:tblW w:type="dxa" w:w="9360"/>
        <w:jc w:val="center"/>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960"/>
        <w:gridCol w:w="2200"/>
        <w:gridCol w:w="2200"/>
      </w:tblGrid>
      <w:tr>
        <w:tc>
          <w:tcPr>
            <w:tcW w:type="dxa" w:w="9360"/>
            <w:gridSpan w:val="3"/>
            <w:tcBorders>
              <w:top w:val="single" w:color="1A305B" w:sz="1"/>
              <w:left w:val="single" w:color="1A305B" w:sz="1"/>
              <w:bottom w:val="single" w:color="1A305B" w:sz="1"/>
              <w:right w:val="single" w:color="1A305B" w:sz="1"/>
            </w:tcBorders>
            <w:shd w:fill="1A305B" w:color="auto" w:val="clear"/>
            <w:tcMar>
              <w:top w:type="dxa" w:w="61"/>
              <w:left w:type="dxa" w:w="100"/>
              <w:bottom w:type="dxa" w:w="61"/>
              <w:right w:type="dxa" w:w="100"/>
            </w:tcMar>
          </w:tcPr>
          <w:p>
            <w:pPr>
              <w:jc w:val="center"/>
            </w:pPr>
            <w:r>
              <w:rPr>
                <w:rFonts w:ascii="Times New Roman" w:cs="Times New Roman" w:eastAsia="Times New Roman" w:hAnsi="Times New Roman"/>
                <w:b/>
                <w:bCs/>
                <w:color w:val="FFFFFF"/>
                <w:sz w:val="20"/>
                <w:szCs w:val="20"/>
              </w:rPr>
              <w:t xml:space="preserve">Means of Transportation to Work — Hamilton County, TN</w:t>
            </w:r>
          </w:p>
        </w:tc>
      </w:tr>
      <w:tr>
        <w:tc>
          <w:tcPr>
            <w:tcW w:type="dxa" w:w="4960"/>
            <w:tcBorders>
              <w:top w:val="single" w:color="1A305B" w:sz="1"/>
              <w:left w:val="single" w:color="1A305B" w:sz="1"/>
              <w:bottom w:val="single" w:color="1A305B" w:sz="1"/>
              <w:right w:val="single" w:color="1A305B" w:sz="1"/>
            </w:tcBorders>
            <w:shd w:fill="FFFFFF" w:color="auto" w:val="clear"/>
            <w:tcMar>
              <w:top w:type="dxa" w:w="61"/>
              <w:left w:type="dxa" w:w="100"/>
              <w:bottom w:type="dxa" w:w="61"/>
              <w:right w:type="dxa" w:w="100"/>
            </w:tcMar>
          </w:tcPr>
          <w:p>
            <w:pPr>
              <w:jc w:val="center"/>
            </w:pPr>
            <w:r>
              <w:rPr>
                <w:rFonts w:ascii="Times New Roman" w:cs="Times New Roman" w:eastAsia="Times New Roman" w:hAnsi="Times New Roman"/>
                <w:b/>
                <w:bCs/>
                <w:color w:val="000000"/>
                <w:sz w:val="20"/>
                <w:szCs w:val="20"/>
              </w:rPr>
              <w:t xml:space="preserve">Means</w:t>
            </w:r>
          </w:p>
        </w:tc>
        <w:tc>
          <w:tcPr>
            <w:tcW w:type="dxa" w:w="2200"/>
            <w:tcBorders>
              <w:top w:val="single" w:color="1A305B" w:sz="1"/>
              <w:left w:val="single" w:color="1A305B" w:sz="1"/>
              <w:bottom w:val="single" w:color="1A305B" w:sz="1"/>
              <w:right w:val="single" w:color="1A305B" w:sz="1"/>
            </w:tcBorders>
            <w:shd w:fill="FFFFFF" w:color="auto" w:val="clear"/>
            <w:tcMar>
              <w:top w:type="dxa" w:w="61"/>
              <w:left w:type="dxa" w:w="100"/>
              <w:bottom w:type="dxa" w:w="61"/>
              <w:right w:type="dxa" w:w="100"/>
            </w:tcMar>
          </w:tcPr>
          <w:p>
            <w:pPr>
              <w:jc w:val="center"/>
            </w:pPr>
            <w:r>
              <w:rPr>
                <w:rFonts w:ascii="Times New Roman" w:cs="Times New Roman" w:eastAsia="Times New Roman" w:hAnsi="Times New Roman"/>
                <w:b/>
                <w:bCs/>
                <w:color w:val="000000"/>
                <w:sz w:val="20"/>
                <w:szCs w:val="20"/>
              </w:rPr>
              <w:t xml:space="preserve">Workers</w:t>
            </w:r>
          </w:p>
        </w:tc>
        <w:tc>
          <w:tcPr>
            <w:tcW w:type="dxa" w:w="2200"/>
            <w:tcBorders>
              <w:top w:val="single" w:color="1A305B" w:sz="1"/>
              <w:left w:val="single" w:color="1A305B" w:sz="1"/>
              <w:bottom w:val="single" w:color="1A305B" w:sz="1"/>
              <w:right w:val="single" w:color="1A305B" w:sz="1"/>
            </w:tcBorders>
            <w:shd w:fill="FFFFFF" w:color="auto" w:val="clear"/>
            <w:tcMar>
              <w:top w:type="dxa" w:w="61"/>
              <w:left w:type="dxa" w:w="100"/>
              <w:bottom w:type="dxa" w:w="61"/>
              <w:right w:type="dxa" w:w="100"/>
            </w:tcMar>
          </w:tcPr>
          <w:p>
            <w:pPr>
              <w:jc w:val="center"/>
            </w:pPr>
            <w:r>
              <w:rPr>
                <w:rFonts w:ascii="Times New Roman" w:cs="Times New Roman" w:eastAsia="Times New Roman" w:hAnsi="Times New Roman"/>
                <w:b/>
                <w:bCs/>
                <w:color w:val="000000"/>
                <w:sz w:val="20"/>
                <w:szCs w:val="20"/>
              </w:rPr>
              <w:t xml:space="preserve">Share</w:t>
            </w:r>
          </w:p>
        </w:tc>
      </w:tr>
      <w:tr>
        <w:tc>
          <w:tcPr>
            <w:tcW w:type="dxa" w:w="4960"/>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color w:val="000000"/>
                <w:sz w:val="20"/>
                <w:szCs w:val="20"/>
              </w:rPr>
              <w:t xml:space="preserve">Drove alone</w:t>
            </w:r>
          </w:p>
        </w:tc>
        <w:tc>
          <w:tcPr>
            <w:tcW w:type="dxa" w:w="2200"/>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color w:val="000000"/>
                <w:sz w:val="20"/>
                <w:szCs w:val="20"/>
              </w:rPr>
              <w:t xml:space="preserve">136,033</w:t>
            </w:r>
          </w:p>
        </w:tc>
        <w:tc>
          <w:tcPr>
            <w:tcW w:type="dxa" w:w="2200"/>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color w:val="000000"/>
                <w:sz w:val="20"/>
                <w:szCs w:val="20"/>
              </w:rPr>
              <w:t xml:space="preserve">74.2%</w:t>
            </w:r>
          </w:p>
        </w:tc>
      </w:tr>
      <w:tr>
        <w:tc>
          <w:tcPr>
            <w:tcW w:type="dxa" w:w="4960"/>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color w:val="000000"/>
                <w:sz w:val="20"/>
                <w:szCs w:val="20"/>
              </w:rPr>
              <w:t xml:space="preserve">Carpooled</w:t>
            </w:r>
          </w:p>
        </w:tc>
        <w:tc>
          <w:tcPr>
            <w:tcW w:type="dxa" w:w="2200"/>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color w:val="000000"/>
                <w:sz w:val="20"/>
                <w:szCs w:val="20"/>
              </w:rPr>
              <w:t xml:space="preserve">15,363</w:t>
            </w:r>
          </w:p>
        </w:tc>
        <w:tc>
          <w:tcPr>
            <w:tcW w:type="dxa" w:w="2200"/>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color w:val="000000"/>
                <w:sz w:val="20"/>
                <w:szCs w:val="20"/>
              </w:rPr>
              <w:t xml:space="preserve">8.4%</w:t>
            </w:r>
          </w:p>
        </w:tc>
      </w:tr>
      <w:tr>
        <w:tc>
          <w:tcPr>
            <w:tcW w:type="dxa" w:w="4960"/>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color w:val="000000"/>
                <w:sz w:val="20"/>
                <w:szCs w:val="20"/>
              </w:rPr>
              <w:t xml:space="preserve">Public transportation</w:t>
            </w:r>
          </w:p>
        </w:tc>
        <w:tc>
          <w:tcPr>
            <w:tcW w:type="dxa" w:w="2200"/>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color w:val="000000"/>
                <w:sz w:val="20"/>
                <w:szCs w:val="20"/>
              </w:rPr>
              <w:t xml:space="preserve">1,038</w:t>
            </w:r>
          </w:p>
        </w:tc>
        <w:tc>
          <w:tcPr>
            <w:tcW w:type="dxa" w:w="2200"/>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color w:val="000000"/>
                <w:sz w:val="20"/>
                <w:szCs w:val="20"/>
              </w:rPr>
              <w:t xml:space="preserve">0.6%</w:t>
            </w:r>
          </w:p>
        </w:tc>
      </w:tr>
      <w:tr>
        <w:tc>
          <w:tcPr>
            <w:tcW w:type="dxa" w:w="4960"/>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color w:val="000000"/>
                <w:sz w:val="20"/>
                <w:szCs w:val="20"/>
              </w:rPr>
              <w:t xml:space="preserve">Walked</w:t>
            </w:r>
          </w:p>
        </w:tc>
        <w:tc>
          <w:tcPr>
            <w:tcW w:type="dxa" w:w="2200"/>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color w:val="000000"/>
                <w:sz w:val="20"/>
                <w:szCs w:val="20"/>
              </w:rPr>
              <w:t xml:space="preserve">2,931</w:t>
            </w:r>
          </w:p>
        </w:tc>
        <w:tc>
          <w:tcPr>
            <w:tcW w:type="dxa" w:w="2200"/>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color w:val="000000"/>
                <w:sz w:val="20"/>
                <w:szCs w:val="20"/>
              </w:rPr>
              <w:t xml:space="preserve">1.6%</w:t>
            </w:r>
          </w:p>
        </w:tc>
      </w:tr>
      <w:tr>
        <w:tc>
          <w:tcPr>
            <w:tcW w:type="dxa" w:w="4960"/>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color w:val="000000"/>
                <w:sz w:val="20"/>
                <w:szCs w:val="20"/>
              </w:rPr>
              <w:t xml:space="preserve">Bicycle</w:t>
            </w:r>
          </w:p>
        </w:tc>
        <w:tc>
          <w:tcPr>
            <w:tcW w:type="dxa" w:w="2200"/>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color w:val="000000"/>
                <w:sz w:val="20"/>
                <w:szCs w:val="20"/>
              </w:rPr>
              <w:t xml:space="preserve">363</w:t>
            </w:r>
          </w:p>
        </w:tc>
        <w:tc>
          <w:tcPr>
            <w:tcW w:type="dxa" w:w="2200"/>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color w:val="000000"/>
                <w:sz w:val="20"/>
                <w:szCs w:val="20"/>
              </w:rPr>
              <w:t xml:space="preserve">0.2%</w:t>
            </w:r>
          </w:p>
        </w:tc>
      </w:tr>
      <w:tr>
        <w:tc>
          <w:tcPr>
            <w:tcW w:type="dxa" w:w="4960"/>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color w:val="000000"/>
                <w:sz w:val="20"/>
                <w:szCs w:val="20"/>
              </w:rPr>
              <w:t xml:space="preserve">Taxicab, motorcycle, or other</w:t>
            </w:r>
          </w:p>
        </w:tc>
        <w:tc>
          <w:tcPr>
            <w:tcW w:type="dxa" w:w="2200"/>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color w:val="000000"/>
                <w:sz w:val="20"/>
                <w:szCs w:val="20"/>
              </w:rPr>
              <w:t xml:space="preserve">1,377</w:t>
            </w:r>
          </w:p>
        </w:tc>
        <w:tc>
          <w:tcPr>
            <w:tcW w:type="dxa" w:w="2200"/>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color w:val="000000"/>
                <w:sz w:val="20"/>
                <w:szCs w:val="20"/>
              </w:rPr>
              <w:t xml:space="preserve">0.8%</w:t>
            </w:r>
          </w:p>
        </w:tc>
      </w:tr>
      <w:tr>
        <w:tc>
          <w:tcPr>
            <w:tcW w:type="dxa" w:w="4960"/>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color w:val="000000"/>
                <w:sz w:val="20"/>
                <w:szCs w:val="20"/>
              </w:rPr>
              <w:t xml:space="preserve">Worked from home</w:t>
            </w:r>
          </w:p>
        </w:tc>
        <w:tc>
          <w:tcPr>
            <w:tcW w:type="dxa" w:w="2200"/>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color w:val="000000"/>
                <w:sz w:val="20"/>
                <w:szCs w:val="20"/>
              </w:rPr>
              <w:t xml:space="preserve">26,267</w:t>
            </w:r>
          </w:p>
        </w:tc>
        <w:tc>
          <w:tcPr>
            <w:tcW w:type="dxa" w:w="2200"/>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color w:val="000000"/>
                <w:sz w:val="20"/>
                <w:szCs w:val="20"/>
              </w:rPr>
              <w:t xml:space="preserve">14.3%</w:t>
            </w:r>
          </w:p>
        </w:tc>
      </w:tr>
    </w:tbl>
    <w:p>
      <w:pPr>
        <w:spacing w:before="160"/>
      </w:pPr>
    </w:p>
    <w:tbl>
      <w:tblPr>
        <w:tblW w:type="dxa" w:w="9360"/>
        <w:jc w:val="center"/>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960"/>
        <w:gridCol w:w="2200"/>
        <w:gridCol w:w="2200"/>
      </w:tblGrid>
      <w:tr>
        <w:tc>
          <w:tcPr>
            <w:tcW w:type="dxa" w:w="9360"/>
            <w:gridSpan w:val="3"/>
            <w:tcBorders>
              <w:top w:val="single" w:color="1A305B" w:sz="1"/>
              <w:left w:val="single" w:color="1A305B" w:sz="1"/>
              <w:bottom w:val="single" w:color="1A305B" w:sz="1"/>
              <w:right w:val="single" w:color="1A305B" w:sz="1"/>
            </w:tcBorders>
            <w:shd w:fill="1A305B" w:color="auto" w:val="clear"/>
            <w:tcMar>
              <w:top w:type="dxa" w:w="61"/>
              <w:left w:type="dxa" w:w="100"/>
              <w:bottom w:type="dxa" w:w="61"/>
              <w:right w:type="dxa" w:w="100"/>
            </w:tcMar>
          </w:tcPr>
          <w:p>
            <w:pPr>
              <w:jc w:val="center"/>
            </w:pPr>
            <w:r>
              <w:rPr>
                <w:rFonts w:ascii="Times New Roman" w:cs="Times New Roman" w:eastAsia="Times New Roman" w:hAnsi="Times New Roman"/>
                <w:b/>
                <w:bCs/>
                <w:color w:val="FFFFFF"/>
                <w:sz w:val="20"/>
                <w:szCs w:val="20"/>
              </w:rPr>
              <w:t xml:space="preserve">Travel Time to Work — Hamilton County, TN (mean 22.1 minutes)</w:t>
            </w:r>
          </w:p>
        </w:tc>
      </w:tr>
      <w:tr>
        <w:tc>
          <w:tcPr>
            <w:tcW w:type="dxa" w:w="4960"/>
            <w:tcBorders>
              <w:top w:val="single" w:color="1A305B" w:sz="1"/>
              <w:left w:val="single" w:color="1A305B" w:sz="1"/>
              <w:bottom w:val="single" w:color="1A305B" w:sz="1"/>
              <w:right w:val="single" w:color="1A305B" w:sz="1"/>
            </w:tcBorders>
            <w:shd w:fill="FFFFFF" w:color="auto" w:val="clear"/>
            <w:tcMar>
              <w:top w:type="dxa" w:w="61"/>
              <w:left w:type="dxa" w:w="100"/>
              <w:bottom w:type="dxa" w:w="61"/>
              <w:right w:type="dxa" w:w="100"/>
            </w:tcMar>
          </w:tcPr>
          <w:p>
            <w:pPr>
              <w:jc w:val="center"/>
            </w:pPr>
            <w:r>
              <w:rPr>
                <w:rFonts w:ascii="Times New Roman" w:cs="Times New Roman" w:eastAsia="Times New Roman" w:hAnsi="Times New Roman"/>
                <w:b/>
                <w:bCs/>
                <w:color w:val="000000"/>
                <w:sz w:val="20"/>
                <w:szCs w:val="20"/>
              </w:rPr>
              <w:t xml:space="preserve">Travel time</w:t>
            </w:r>
          </w:p>
        </w:tc>
        <w:tc>
          <w:tcPr>
            <w:tcW w:type="dxa" w:w="2200"/>
            <w:tcBorders>
              <w:top w:val="single" w:color="1A305B" w:sz="1"/>
              <w:left w:val="single" w:color="1A305B" w:sz="1"/>
              <w:bottom w:val="single" w:color="1A305B" w:sz="1"/>
              <w:right w:val="single" w:color="1A305B" w:sz="1"/>
            </w:tcBorders>
            <w:shd w:fill="FFFFFF" w:color="auto" w:val="clear"/>
            <w:tcMar>
              <w:top w:type="dxa" w:w="61"/>
              <w:left w:type="dxa" w:w="100"/>
              <w:bottom w:type="dxa" w:w="61"/>
              <w:right w:type="dxa" w:w="100"/>
            </w:tcMar>
          </w:tcPr>
          <w:p>
            <w:pPr>
              <w:jc w:val="center"/>
            </w:pPr>
            <w:r>
              <w:rPr>
                <w:rFonts w:ascii="Times New Roman" w:cs="Times New Roman" w:eastAsia="Times New Roman" w:hAnsi="Times New Roman"/>
                <w:b/>
                <w:bCs/>
                <w:color w:val="000000"/>
                <w:sz w:val="20"/>
                <w:szCs w:val="20"/>
              </w:rPr>
              <w:t xml:space="preserve">Workers</w:t>
            </w:r>
          </w:p>
        </w:tc>
        <w:tc>
          <w:tcPr>
            <w:tcW w:type="dxa" w:w="2200"/>
            <w:tcBorders>
              <w:top w:val="single" w:color="1A305B" w:sz="1"/>
              <w:left w:val="single" w:color="1A305B" w:sz="1"/>
              <w:bottom w:val="single" w:color="1A305B" w:sz="1"/>
              <w:right w:val="single" w:color="1A305B" w:sz="1"/>
            </w:tcBorders>
            <w:shd w:fill="FFFFFF" w:color="auto" w:val="clear"/>
            <w:tcMar>
              <w:top w:type="dxa" w:w="61"/>
              <w:left w:type="dxa" w:w="100"/>
              <w:bottom w:type="dxa" w:w="61"/>
              <w:right w:type="dxa" w:w="100"/>
            </w:tcMar>
          </w:tcPr>
          <w:p>
            <w:pPr>
              <w:jc w:val="center"/>
            </w:pPr>
            <w:r>
              <w:rPr>
                <w:rFonts w:ascii="Times New Roman" w:cs="Times New Roman" w:eastAsia="Times New Roman" w:hAnsi="Times New Roman"/>
                <w:b/>
                <w:bCs/>
                <w:color w:val="000000"/>
                <w:sz w:val="20"/>
                <w:szCs w:val="20"/>
              </w:rPr>
              <w:t xml:space="preserve">Share</w:t>
            </w:r>
          </w:p>
        </w:tc>
      </w:tr>
      <w:tr>
        <w:tc>
          <w:tcPr>
            <w:tcW w:type="dxa" w:w="4960"/>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color w:val="000000"/>
                <w:sz w:val="20"/>
                <w:szCs w:val="20"/>
              </w:rPr>
              <w:t xml:space="preserve">Less than 5 minutes</w:t>
            </w:r>
          </w:p>
        </w:tc>
        <w:tc>
          <w:tcPr>
            <w:tcW w:type="dxa" w:w="2200"/>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color w:val="000000"/>
                <w:sz w:val="20"/>
                <w:szCs w:val="20"/>
              </w:rPr>
              <w:t xml:space="preserve">3,790</w:t>
            </w:r>
          </w:p>
        </w:tc>
        <w:tc>
          <w:tcPr>
            <w:tcW w:type="dxa" w:w="2200"/>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color w:val="000000"/>
                <w:sz w:val="20"/>
                <w:szCs w:val="20"/>
              </w:rPr>
              <w:t xml:space="preserve">2.4%</w:t>
            </w:r>
          </w:p>
        </w:tc>
      </w:tr>
      <w:tr>
        <w:tc>
          <w:tcPr>
            <w:tcW w:type="dxa" w:w="4960"/>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color w:val="000000"/>
                <w:sz w:val="20"/>
                <w:szCs w:val="20"/>
              </w:rPr>
              <w:t xml:space="preserve">5 to 9 minutes</w:t>
            </w:r>
          </w:p>
        </w:tc>
        <w:tc>
          <w:tcPr>
            <w:tcW w:type="dxa" w:w="2200"/>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color w:val="000000"/>
                <w:sz w:val="20"/>
                <w:szCs w:val="20"/>
              </w:rPr>
              <w:t xml:space="preserve">14,622</w:t>
            </w:r>
          </w:p>
        </w:tc>
        <w:tc>
          <w:tcPr>
            <w:tcW w:type="dxa" w:w="2200"/>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color w:val="000000"/>
                <w:sz w:val="20"/>
                <w:szCs w:val="20"/>
              </w:rPr>
              <w:t xml:space="preserve">9.3%</w:t>
            </w:r>
          </w:p>
        </w:tc>
      </w:tr>
      <w:tr>
        <w:tc>
          <w:tcPr>
            <w:tcW w:type="dxa" w:w="4960"/>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color w:val="000000"/>
                <w:sz w:val="20"/>
                <w:szCs w:val="20"/>
              </w:rPr>
              <w:t xml:space="preserve">10 to 14 minutes</w:t>
            </w:r>
          </w:p>
        </w:tc>
        <w:tc>
          <w:tcPr>
            <w:tcW w:type="dxa" w:w="2200"/>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color w:val="000000"/>
                <w:sz w:val="20"/>
                <w:szCs w:val="20"/>
              </w:rPr>
              <w:t xml:space="preserve">22,681</w:t>
            </w:r>
          </w:p>
        </w:tc>
        <w:tc>
          <w:tcPr>
            <w:tcW w:type="dxa" w:w="2200"/>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color w:val="000000"/>
                <w:sz w:val="20"/>
                <w:szCs w:val="20"/>
              </w:rPr>
              <w:t xml:space="preserve">14.4%</w:t>
            </w:r>
          </w:p>
        </w:tc>
      </w:tr>
      <w:tr>
        <w:tc>
          <w:tcPr>
            <w:tcW w:type="dxa" w:w="4960"/>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color w:val="000000"/>
                <w:sz w:val="20"/>
                <w:szCs w:val="20"/>
              </w:rPr>
              <w:t xml:space="preserve">15 to 19 minutes</w:t>
            </w:r>
          </w:p>
        </w:tc>
        <w:tc>
          <w:tcPr>
            <w:tcW w:type="dxa" w:w="2200"/>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color w:val="000000"/>
                <w:sz w:val="20"/>
                <w:szCs w:val="20"/>
              </w:rPr>
              <w:t xml:space="preserve">32,036</w:t>
            </w:r>
          </w:p>
        </w:tc>
        <w:tc>
          <w:tcPr>
            <w:tcW w:type="dxa" w:w="2200"/>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color w:val="000000"/>
                <w:sz w:val="20"/>
                <w:szCs w:val="20"/>
              </w:rPr>
              <w:t xml:space="preserve">20.4%</w:t>
            </w:r>
          </w:p>
        </w:tc>
      </w:tr>
      <w:tr>
        <w:tc>
          <w:tcPr>
            <w:tcW w:type="dxa" w:w="4960"/>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color w:val="000000"/>
                <w:sz w:val="20"/>
                <w:szCs w:val="20"/>
              </w:rPr>
              <w:t xml:space="preserve">20 to 24 minutes</w:t>
            </w:r>
          </w:p>
        </w:tc>
        <w:tc>
          <w:tcPr>
            <w:tcW w:type="dxa" w:w="2200"/>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color w:val="000000"/>
                <w:sz w:val="20"/>
                <w:szCs w:val="20"/>
              </w:rPr>
              <w:t xml:space="preserve">28,515</w:t>
            </w:r>
          </w:p>
        </w:tc>
        <w:tc>
          <w:tcPr>
            <w:tcW w:type="dxa" w:w="2200"/>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color w:val="000000"/>
                <w:sz w:val="20"/>
                <w:szCs w:val="20"/>
              </w:rPr>
              <w:t xml:space="preserve">18.2%</w:t>
            </w:r>
          </w:p>
        </w:tc>
      </w:tr>
      <w:tr>
        <w:tc>
          <w:tcPr>
            <w:tcW w:type="dxa" w:w="4960"/>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color w:val="000000"/>
                <w:sz w:val="20"/>
                <w:szCs w:val="20"/>
              </w:rPr>
              <w:t xml:space="preserve">25 to 29 minutes</w:t>
            </w:r>
          </w:p>
        </w:tc>
        <w:tc>
          <w:tcPr>
            <w:tcW w:type="dxa" w:w="2200"/>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color w:val="000000"/>
                <w:sz w:val="20"/>
                <w:szCs w:val="20"/>
              </w:rPr>
              <w:t xml:space="preserve">12,996</w:t>
            </w:r>
          </w:p>
        </w:tc>
        <w:tc>
          <w:tcPr>
            <w:tcW w:type="dxa" w:w="2200"/>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color w:val="000000"/>
                <w:sz w:val="20"/>
                <w:szCs w:val="20"/>
              </w:rPr>
              <w:t xml:space="preserve">8.3%</w:t>
            </w:r>
          </w:p>
        </w:tc>
      </w:tr>
      <w:tr>
        <w:tc>
          <w:tcPr>
            <w:tcW w:type="dxa" w:w="4960"/>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color w:val="000000"/>
                <w:sz w:val="20"/>
                <w:szCs w:val="20"/>
              </w:rPr>
              <w:t xml:space="preserve">30 to 34 minutes</w:t>
            </w:r>
          </w:p>
        </w:tc>
        <w:tc>
          <w:tcPr>
            <w:tcW w:type="dxa" w:w="2200"/>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color w:val="000000"/>
                <w:sz w:val="20"/>
                <w:szCs w:val="20"/>
              </w:rPr>
              <w:t xml:space="preserve">22,648</w:t>
            </w:r>
          </w:p>
        </w:tc>
        <w:tc>
          <w:tcPr>
            <w:tcW w:type="dxa" w:w="2200"/>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color w:val="000000"/>
                <w:sz w:val="20"/>
                <w:szCs w:val="20"/>
              </w:rPr>
              <w:t xml:space="preserve">14.4%</w:t>
            </w:r>
          </w:p>
        </w:tc>
      </w:tr>
      <w:tr>
        <w:tc>
          <w:tcPr>
            <w:tcW w:type="dxa" w:w="4960"/>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color w:val="000000"/>
                <w:sz w:val="20"/>
                <w:szCs w:val="20"/>
              </w:rPr>
              <w:t xml:space="preserve">35 to 39 minutes</w:t>
            </w:r>
          </w:p>
        </w:tc>
        <w:tc>
          <w:tcPr>
            <w:tcW w:type="dxa" w:w="2200"/>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color w:val="000000"/>
                <w:sz w:val="20"/>
                <w:szCs w:val="20"/>
              </w:rPr>
              <w:t xml:space="preserve">4,711</w:t>
            </w:r>
          </w:p>
        </w:tc>
        <w:tc>
          <w:tcPr>
            <w:tcW w:type="dxa" w:w="2200"/>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color w:val="000000"/>
                <w:sz w:val="20"/>
                <w:szCs w:val="20"/>
              </w:rPr>
              <w:t xml:space="preserve">3.0%</w:t>
            </w:r>
          </w:p>
        </w:tc>
      </w:tr>
      <w:tr>
        <w:tc>
          <w:tcPr>
            <w:tcW w:type="dxa" w:w="4960"/>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color w:val="000000"/>
                <w:sz w:val="20"/>
                <w:szCs w:val="20"/>
              </w:rPr>
              <w:t xml:space="preserve">40 to 44 minutes</w:t>
            </w:r>
          </w:p>
        </w:tc>
        <w:tc>
          <w:tcPr>
            <w:tcW w:type="dxa" w:w="2200"/>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color w:val="000000"/>
                <w:sz w:val="20"/>
                <w:szCs w:val="20"/>
              </w:rPr>
              <w:t xml:space="preserve">3,894</w:t>
            </w:r>
          </w:p>
        </w:tc>
        <w:tc>
          <w:tcPr>
            <w:tcW w:type="dxa" w:w="2200"/>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color w:val="000000"/>
                <w:sz w:val="20"/>
                <w:szCs w:val="20"/>
              </w:rPr>
              <w:t xml:space="preserve">2.5%</w:t>
            </w:r>
          </w:p>
        </w:tc>
      </w:tr>
      <w:tr>
        <w:tc>
          <w:tcPr>
            <w:tcW w:type="dxa" w:w="4960"/>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color w:val="000000"/>
                <w:sz w:val="20"/>
                <w:szCs w:val="20"/>
              </w:rPr>
              <w:t xml:space="preserve">45 to 59 minutes</w:t>
            </w:r>
          </w:p>
        </w:tc>
        <w:tc>
          <w:tcPr>
            <w:tcW w:type="dxa" w:w="2200"/>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color w:val="000000"/>
                <w:sz w:val="20"/>
                <w:szCs w:val="20"/>
              </w:rPr>
              <w:t xml:space="preserve">6,522</w:t>
            </w:r>
          </w:p>
        </w:tc>
        <w:tc>
          <w:tcPr>
            <w:tcW w:type="dxa" w:w="2200"/>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color w:val="000000"/>
                <w:sz w:val="20"/>
                <w:szCs w:val="20"/>
              </w:rPr>
              <w:t xml:space="preserve">4.2%</w:t>
            </w:r>
          </w:p>
        </w:tc>
      </w:tr>
      <w:tr>
        <w:tc>
          <w:tcPr>
            <w:tcW w:type="dxa" w:w="4960"/>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color w:val="000000"/>
                <w:sz w:val="20"/>
                <w:szCs w:val="20"/>
              </w:rPr>
              <w:t xml:space="preserve">60 to 89 minutes</w:t>
            </w:r>
          </w:p>
        </w:tc>
        <w:tc>
          <w:tcPr>
            <w:tcW w:type="dxa" w:w="2200"/>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color w:val="000000"/>
                <w:sz w:val="20"/>
                <w:szCs w:val="20"/>
              </w:rPr>
              <w:t xml:space="preserve">2,401</w:t>
            </w:r>
          </w:p>
        </w:tc>
        <w:tc>
          <w:tcPr>
            <w:tcW w:type="dxa" w:w="2200"/>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color w:val="000000"/>
                <w:sz w:val="20"/>
                <w:szCs w:val="20"/>
              </w:rPr>
              <w:t xml:space="preserve">1.5%</w:t>
            </w:r>
          </w:p>
        </w:tc>
      </w:tr>
      <w:tr>
        <w:tc>
          <w:tcPr>
            <w:tcW w:type="dxa" w:w="4960"/>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color w:val="000000"/>
                <w:sz w:val="20"/>
                <w:szCs w:val="20"/>
              </w:rPr>
              <w:t xml:space="preserve">90 or more minutes</w:t>
            </w:r>
          </w:p>
        </w:tc>
        <w:tc>
          <w:tcPr>
            <w:tcW w:type="dxa" w:w="2200"/>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color w:val="000000"/>
                <w:sz w:val="20"/>
                <w:szCs w:val="20"/>
              </w:rPr>
              <w:t xml:space="preserve">2,289</w:t>
            </w:r>
          </w:p>
        </w:tc>
        <w:tc>
          <w:tcPr>
            <w:tcW w:type="dxa" w:w="2200"/>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color w:val="000000"/>
                <w:sz w:val="20"/>
                <w:szCs w:val="20"/>
              </w:rPr>
              <w:t xml:space="preserve">1.5%</w:t>
            </w:r>
          </w:p>
        </w:tc>
      </w:tr>
    </w:tbl>
    <w:p>
      <w:pPr>
        <w:spacing w:before="40"/>
      </w:pPr>
      <w:r>
        <w:rPr>
          <w:rFonts w:ascii="Times New Roman" w:cs="Times New Roman" w:eastAsia="Times New Roman" w:hAnsi="Times New Roman"/>
          <w:color w:val="000000"/>
          <w:sz w:val="20"/>
          <w:szCs w:val="20"/>
        </w:rPr>
        <w:t xml:space="preserve">Source: U.S. Census Bureau, American Community Survey 5-Year Estimates (2024), Tables B08007, B08301, B08303, B08013.</w:t>
      </w:r>
    </w:p>
    <w:p>
      <w:r>
        <w:br w:type="page"/>
      </w:r>
    </w:p>
    <w:p>
      <w:pPr>
        <w:pStyle w:val="Heading1"/>
        <w:spacing w:after="0" w:before="0"/>
      </w:pPr>
      <w:r>
        <w:rPr>
          <w:rFonts w:ascii="Times New Roman" w:cs="Times New Roman" w:eastAsia="Times New Roman" w:hAnsi="Times New Roman"/>
          <w:b/>
          <w:bCs/>
          <w:i w:val="false"/>
          <w:iCs w:val="false"/>
          <w:color w:val="000000"/>
          <w:sz w:val="24"/>
          <w:szCs w:val="24"/>
        </w:rPr>
        <w:t xml:space="preserve">Wages by Occupation</w:t>
      </w:r>
    </w:p>
    <w:p>
      <w:pPr>
        <w:spacing w:after="120"/>
        <w:jc w:val="both"/>
      </w:pPr>
      <w:r>
        <w:rPr>
          <w:rFonts w:ascii="Times New Roman" w:cs="Times New Roman" w:eastAsia="Times New Roman" w:hAnsi="Times New Roman"/>
          <w:color w:val="000000"/>
          <w:sz w:val="24"/>
          <w:szCs w:val="24"/>
        </w:rPr>
        <w:t xml:space="preserve">The chart below shows the wages by occupation for the Chattanooga, TN-GA MSA.</w:t>
      </w:r>
    </w:p>
    <w:tbl>
      <w:tblPr>
        <w:tblW w:type="dxa" w:w="9360"/>
        <w:jc w:val="center"/>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200"/>
        <w:gridCol w:w="1600"/>
        <w:gridCol w:w="1780"/>
        <w:gridCol w:w="1780"/>
      </w:tblGrid>
      <w:tr>
        <w:tc>
          <w:tcPr>
            <w:tcW w:type="dxa" w:w="9360"/>
            <w:gridSpan w:val="4"/>
            <w:tcBorders>
              <w:top w:val="single" w:color="1A305B" w:sz="1"/>
              <w:left w:val="single" w:color="1A305B" w:sz="1"/>
              <w:bottom w:val="single" w:color="1A305B" w:sz="1"/>
              <w:right w:val="single" w:color="1A305B" w:sz="1"/>
            </w:tcBorders>
            <w:shd w:fill="1A305B" w:color="auto" w:val="clear"/>
            <w:tcMar>
              <w:top w:type="dxa" w:w="61"/>
              <w:left w:type="dxa" w:w="100"/>
              <w:bottom w:type="dxa" w:w="61"/>
              <w:right w:type="dxa" w:w="100"/>
            </w:tcMar>
          </w:tcPr>
          <w:p>
            <w:pPr>
              <w:jc w:val="center"/>
            </w:pPr>
            <w:r>
              <w:rPr>
                <w:rFonts w:ascii="Times New Roman" w:cs="Times New Roman" w:eastAsia="Times New Roman" w:hAnsi="Times New Roman"/>
                <w:b/>
                <w:bCs/>
                <w:color w:val="FFFFFF"/>
                <w:sz w:val="20"/>
                <w:szCs w:val="20"/>
              </w:rPr>
              <w:t xml:space="preserve">Wage by Occupation — Chattanooga, TN-GA MSA</w:t>
            </w:r>
          </w:p>
        </w:tc>
      </w:tr>
      <w:tr>
        <w:tc>
          <w:tcPr>
            <w:tcW w:type="dxa" w:w="4200"/>
            <w:tcBorders>
              <w:top w:val="single" w:color="1A305B" w:sz="1"/>
              <w:left w:val="single" w:color="1A305B" w:sz="1"/>
              <w:bottom w:val="single" w:color="1A305B" w:sz="1"/>
              <w:right w:val="single" w:color="1A305B" w:sz="1"/>
            </w:tcBorders>
            <w:shd w:fill="FFFFFF" w:color="auto" w:val="clear"/>
            <w:tcMar>
              <w:top w:type="dxa" w:w="61"/>
              <w:left w:type="dxa" w:w="100"/>
              <w:bottom w:type="dxa" w:w="61"/>
              <w:right w:type="dxa" w:w="100"/>
            </w:tcMar>
          </w:tcPr>
          <w:p>
            <w:pPr>
              <w:jc w:val="center"/>
            </w:pPr>
            <w:r>
              <w:rPr>
                <w:rFonts w:ascii="Times New Roman" w:cs="Times New Roman" w:eastAsia="Times New Roman" w:hAnsi="Times New Roman"/>
                <w:b/>
                <w:bCs/>
                <w:color w:val="000000"/>
                <w:sz w:val="20"/>
                <w:szCs w:val="20"/>
              </w:rPr>
              <w:t xml:space="preserve">Occupational Title</w:t>
            </w:r>
          </w:p>
        </w:tc>
        <w:tc>
          <w:tcPr>
            <w:tcW w:type="dxa" w:w="1600"/>
            <w:tcBorders>
              <w:top w:val="single" w:color="1A305B" w:sz="1"/>
              <w:left w:val="single" w:color="1A305B" w:sz="1"/>
              <w:bottom w:val="single" w:color="1A305B" w:sz="1"/>
              <w:right w:val="single" w:color="1A305B" w:sz="1"/>
            </w:tcBorders>
            <w:shd w:fill="FFFFFF" w:color="auto" w:val="clear"/>
            <w:tcMar>
              <w:top w:type="dxa" w:w="61"/>
              <w:left w:type="dxa" w:w="100"/>
              <w:bottom w:type="dxa" w:w="61"/>
              <w:right w:type="dxa" w:w="100"/>
            </w:tcMar>
          </w:tcPr>
          <w:p>
            <w:pPr>
              <w:jc w:val="center"/>
            </w:pPr>
            <w:r>
              <w:rPr>
                <w:rFonts w:ascii="Times New Roman" w:cs="Times New Roman" w:eastAsia="Times New Roman" w:hAnsi="Times New Roman"/>
                <w:b/>
                <w:bCs/>
                <w:color w:val="000000"/>
                <w:sz w:val="20"/>
                <w:szCs w:val="20"/>
              </w:rPr>
              <w:t xml:space="preserve"># Employees</w:t>
            </w:r>
          </w:p>
        </w:tc>
        <w:tc>
          <w:tcPr>
            <w:tcW w:type="dxa" w:w="1780"/>
            <w:tcBorders>
              <w:top w:val="single" w:color="1A305B" w:sz="1"/>
              <w:left w:val="single" w:color="1A305B" w:sz="1"/>
              <w:bottom w:val="single" w:color="1A305B" w:sz="1"/>
              <w:right w:val="single" w:color="1A305B" w:sz="1"/>
            </w:tcBorders>
            <w:shd w:fill="FFFFFF" w:color="auto" w:val="clear"/>
            <w:tcMar>
              <w:top w:type="dxa" w:w="61"/>
              <w:left w:type="dxa" w:w="100"/>
              <w:bottom w:type="dxa" w:w="61"/>
              <w:right w:type="dxa" w:w="100"/>
            </w:tcMar>
          </w:tcPr>
          <w:p>
            <w:pPr>
              <w:jc w:val="center"/>
            </w:pPr>
            <w:r>
              <w:rPr>
                <w:rFonts w:ascii="Times New Roman" w:cs="Times New Roman" w:eastAsia="Times New Roman" w:hAnsi="Times New Roman"/>
                <w:b/>
                <w:bCs/>
                <w:color w:val="000000"/>
                <w:sz w:val="20"/>
                <w:szCs w:val="20"/>
              </w:rPr>
              <w:t xml:space="preserve">Avg Hourly Wage</w:t>
            </w:r>
          </w:p>
        </w:tc>
        <w:tc>
          <w:tcPr>
            <w:tcW w:type="dxa" w:w="1780"/>
            <w:tcBorders>
              <w:top w:val="single" w:color="1A305B" w:sz="1"/>
              <w:left w:val="single" w:color="1A305B" w:sz="1"/>
              <w:bottom w:val="single" w:color="1A305B" w:sz="1"/>
              <w:right w:val="single" w:color="1A305B" w:sz="1"/>
            </w:tcBorders>
            <w:shd w:fill="FFFFFF" w:color="auto" w:val="clear"/>
            <w:tcMar>
              <w:top w:type="dxa" w:w="61"/>
              <w:left w:type="dxa" w:w="100"/>
              <w:bottom w:type="dxa" w:w="61"/>
              <w:right w:type="dxa" w:w="100"/>
            </w:tcMar>
          </w:tcPr>
          <w:p>
            <w:pPr>
              <w:jc w:val="center"/>
            </w:pPr>
            <w:r>
              <w:rPr>
                <w:rFonts w:ascii="Times New Roman" w:cs="Times New Roman" w:eastAsia="Times New Roman" w:hAnsi="Times New Roman"/>
                <w:b/>
                <w:bCs/>
                <w:color w:val="000000"/>
                <w:sz w:val="20"/>
                <w:szCs w:val="20"/>
              </w:rPr>
              <w:t xml:space="preserve">Avg Annual Wage</w:t>
            </w:r>
          </w:p>
        </w:tc>
      </w:tr>
      <w:tr>
        <w:tc>
          <w:tcPr>
            <w:tcW w:type="dxa" w:w="4200"/>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left"/>
            </w:pPr>
            <w:r>
              <w:rPr>
                <w:rFonts w:ascii="Times New Roman" w:cs="Times New Roman" w:eastAsia="Times New Roman" w:hAnsi="Times New Roman"/>
                <w:b w:val="false"/>
                <w:bCs w:val="false"/>
                <w:i w:val="false"/>
                <w:iCs w:val="false"/>
                <w:color w:val="000000"/>
                <w:sz w:val="20"/>
                <w:szCs w:val="20"/>
              </w:rPr>
              <w:t xml:space="preserve">All Occupations</w:t>
            </w:r>
          </w:p>
        </w:tc>
        <w:tc>
          <w:tcPr>
            <w:tcW w:type="dxa" w:w="1600"/>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b w:val="false"/>
                <w:bCs w:val="false"/>
                <w:i w:val="false"/>
                <w:iCs w:val="false"/>
                <w:color w:val="000000"/>
                <w:sz w:val="20"/>
                <w:szCs w:val="20"/>
              </w:rPr>
              <w:t xml:space="preserve">268,750</w:t>
            </w:r>
          </w:p>
        </w:tc>
        <w:tc>
          <w:tcPr>
            <w:tcW w:type="dxa" w:w="1780"/>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b w:val="false"/>
                <w:bCs w:val="false"/>
                <w:i w:val="false"/>
                <w:iCs w:val="false"/>
                <w:color w:val="000000"/>
                <w:sz w:val="20"/>
                <w:szCs w:val="20"/>
              </w:rPr>
              <w:t xml:space="preserve">$28.21</w:t>
            </w:r>
          </w:p>
        </w:tc>
        <w:tc>
          <w:tcPr>
            <w:tcW w:type="dxa" w:w="1780"/>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b w:val="false"/>
                <w:bCs w:val="false"/>
                <w:i w:val="false"/>
                <w:iCs w:val="false"/>
                <w:color w:val="000000"/>
                <w:sz w:val="20"/>
                <w:szCs w:val="20"/>
              </w:rPr>
              <w:t xml:space="preserve">$58,680</w:t>
            </w:r>
          </w:p>
        </w:tc>
      </w:tr>
      <w:tr>
        <w:tc>
          <w:tcPr>
            <w:tcW w:type="dxa" w:w="4200"/>
            <w:tcBorders>
              <w:top w:val="single" w:color="1A305B" w:sz="1"/>
              <w:left w:val="single" w:color="1A305B" w:sz="1"/>
              <w:bottom w:val="single" w:color="1A305B" w:sz="1"/>
              <w:right w:val="single" w:color="1A305B" w:sz="1"/>
            </w:tcBorders>
            <w:shd w:fill="D5E8F5" w:color="auto" w:val="clear"/>
            <w:tcMar>
              <w:top w:type="dxa" w:w="61"/>
              <w:left w:type="dxa" w:w="100"/>
              <w:bottom w:type="dxa" w:w="61"/>
              <w:right w:type="dxa" w:w="100"/>
            </w:tcMar>
          </w:tcPr>
          <w:p>
            <w:pPr>
              <w:jc w:val="left"/>
            </w:pPr>
            <w:r>
              <w:rPr>
                <w:rFonts w:ascii="Times New Roman" w:cs="Times New Roman" w:eastAsia="Times New Roman" w:hAnsi="Times New Roman"/>
                <w:b w:val="false"/>
                <w:bCs w:val="false"/>
                <w:i w:val="false"/>
                <w:iCs w:val="false"/>
                <w:color w:val="000000"/>
                <w:sz w:val="20"/>
                <w:szCs w:val="20"/>
              </w:rPr>
              <w:t xml:space="preserve">Management Occupations</w:t>
            </w:r>
          </w:p>
        </w:tc>
        <w:tc>
          <w:tcPr>
            <w:tcW w:type="dxa" w:w="1600"/>
            <w:tcBorders>
              <w:top w:val="single" w:color="1A305B" w:sz="1"/>
              <w:left w:val="single" w:color="1A305B" w:sz="1"/>
              <w:bottom w:val="single" w:color="1A305B" w:sz="1"/>
              <w:right w:val="single" w:color="1A305B" w:sz="1"/>
            </w:tcBorders>
            <w:shd w:fill="D5E8F5" w:color="auto" w:val="clear"/>
            <w:tcMar>
              <w:top w:type="dxa" w:w="61"/>
              <w:left w:type="dxa" w:w="100"/>
              <w:bottom w:type="dxa" w:w="61"/>
              <w:right w:type="dxa" w:w="100"/>
            </w:tcMar>
          </w:tcPr>
          <w:p>
            <w:pPr>
              <w:jc w:val="center"/>
            </w:pPr>
            <w:r>
              <w:rPr>
                <w:rFonts w:ascii="Times New Roman" w:cs="Times New Roman" w:eastAsia="Times New Roman" w:hAnsi="Times New Roman"/>
                <w:b w:val="false"/>
                <w:bCs w:val="false"/>
                <w:i w:val="false"/>
                <w:iCs w:val="false"/>
                <w:color w:val="000000"/>
                <w:sz w:val="20"/>
                <w:szCs w:val="20"/>
              </w:rPr>
              <w:t xml:space="preserve">16,250</w:t>
            </w:r>
          </w:p>
        </w:tc>
        <w:tc>
          <w:tcPr>
            <w:tcW w:type="dxa" w:w="1780"/>
            <w:tcBorders>
              <w:top w:val="single" w:color="1A305B" w:sz="1"/>
              <w:left w:val="single" w:color="1A305B" w:sz="1"/>
              <w:bottom w:val="single" w:color="1A305B" w:sz="1"/>
              <w:right w:val="single" w:color="1A305B" w:sz="1"/>
            </w:tcBorders>
            <w:shd w:fill="D5E8F5" w:color="auto" w:val="clear"/>
            <w:tcMar>
              <w:top w:type="dxa" w:w="61"/>
              <w:left w:type="dxa" w:w="100"/>
              <w:bottom w:type="dxa" w:w="61"/>
              <w:right w:type="dxa" w:w="100"/>
            </w:tcMar>
          </w:tcPr>
          <w:p>
            <w:pPr>
              <w:jc w:val="center"/>
            </w:pPr>
            <w:r>
              <w:rPr>
                <w:rFonts w:ascii="Times New Roman" w:cs="Times New Roman" w:eastAsia="Times New Roman" w:hAnsi="Times New Roman"/>
                <w:b w:val="false"/>
                <w:bCs w:val="false"/>
                <w:i w:val="false"/>
                <w:iCs w:val="false"/>
                <w:color w:val="000000"/>
                <w:sz w:val="20"/>
                <w:szCs w:val="20"/>
              </w:rPr>
              <w:t xml:space="preserve">$61.95</w:t>
            </w:r>
          </w:p>
        </w:tc>
        <w:tc>
          <w:tcPr>
            <w:tcW w:type="dxa" w:w="1780"/>
            <w:tcBorders>
              <w:top w:val="single" w:color="1A305B" w:sz="1"/>
              <w:left w:val="single" w:color="1A305B" w:sz="1"/>
              <w:bottom w:val="single" w:color="1A305B" w:sz="1"/>
              <w:right w:val="single" w:color="1A305B" w:sz="1"/>
            </w:tcBorders>
            <w:shd w:fill="D5E8F5" w:color="auto" w:val="clear"/>
            <w:tcMar>
              <w:top w:type="dxa" w:w="61"/>
              <w:left w:type="dxa" w:w="100"/>
              <w:bottom w:type="dxa" w:w="61"/>
              <w:right w:type="dxa" w:w="100"/>
            </w:tcMar>
          </w:tcPr>
          <w:p>
            <w:pPr>
              <w:jc w:val="center"/>
            </w:pPr>
            <w:r>
              <w:rPr>
                <w:rFonts w:ascii="Times New Roman" w:cs="Times New Roman" w:eastAsia="Times New Roman" w:hAnsi="Times New Roman"/>
                <w:b w:val="false"/>
                <w:bCs w:val="false"/>
                <w:i w:val="false"/>
                <w:iCs w:val="false"/>
                <w:color w:val="000000"/>
                <w:sz w:val="20"/>
                <w:szCs w:val="20"/>
              </w:rPr>
              <w:t xml:space="preserve">$128,860</w:t>
            </w:r>
          </w:p>
        </w:tc>
      </w:tr>
      <w:tr>
        <w:tc>
          <w:tcPr>
            <w:tcW w:type="dxa" w:w="4200"/>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left"/>
            </w:pPr>
            <w:r>
              <w:rPr>
                <w:rFonts w:ascii="Times New Roman" w:cs="Times New Roman" w:eastAsia="Times New Roman" w:hAnsi="Times New Roman"/>
                <w:b w:val="false"/>
                <w:bCs w:val="false"/>
                <w:i w:val="false"/>
                <w:iCs w:val="false"/>
                <w:color w:val="000000"/>
                <w:sz w:val="20"/>
                <w:szCs w:val="20"/>
              </w:rPr>
              <w:t xml:space="preserve">Legal Occupations</w:t>
            </w:r>
          </w:p>
        </w:tc>
        <w:tc>
          <w:tcPr>
            <w:tcW w:type="dxa" w:w="1600"/>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b w:val="false"/>
                <w:bCs w:val="false"/>
                <w:i w:val="false"/>
                <w:iCs w:val="false"/>
                <w:color w:val="000000"/>
                <w:sz w:val="20"/>
                <w:szCs w:val="20"/>
              </w:rPr>
              <w:t xml:space="preserve">1,460</w:t>
            </w:r>
          </w:p>
        </w:tc>
        <w:tc>
          <w:tcPr>
            <w:tcW w:type="dxa" w:w="1780"/>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b w:val="false"/>
                <w:bCs w:val="false"/>
                <w:i w:val="false"/>
                <w:iCs w:val="false"/>
                <w:color w:val="000000"/>
                <w:sz w:val="20"/>
                <w:szCs w:val="20"/>
              </w:rPr>
              <w:t xml:space="preserve">$56.62</w:t>
            </w:r>
          </w:p>
        </w:tc>
        <w:tc>
          <w:tcPr>
            <w:tcW w:type="dxa" w:w="1780"/>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b w:val="false"/>
                <w:bCs w:val="false"/>
                <w:i w:val="false"/>
                <w:iCs w:val="false"/>
                <w:color w:val="000000"/>
                <w:sz w:val="20"/>
                <w:szCs w:val="20"/>
              </w:rPr>
              <w:t xml:space="preserve">$117,770</w:t>
            </w:r>
          </w:p>
        </w:tc>
      </w:tr>
      <w:tr>
        <w:tc>
          <w:tcPr>
            <w:tcW w:type="dxa" w:w="4200"/>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left"/>
            </w:pPr>
            <w:r>
              <w:rPr>
                <w:rFonts w:ascii="Times New Roman" w:cs="Times New Roman" w:eastAsia="Times New Roman" w:hAnsi="Times New Roman"/>
                <w:b w:val="false"/>
                <w:bCs w:val="false"/>
                <w:i w:val="false"/>
                <w:iCs w:val="false"/>
                <w:color w:val="000000"/>
                <w:sz w:val="20"/>
                <w:szCs w:val="20"/>
              </w:rPr>
              <w:t xml:space="preserve">Architecture and Engineering Occupations</w:t>
            </w:r>
          </w:p>
        </w:tc>
        <w:tc>
          <w:tcPr>
            <w:tcW w:type="dxa" w:w="1600"/>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b w:val="false"/>
                <w:bCs w:val="false"/>
                <w:i w:val="false"/>
                <w:iCs w:val="false"/>
                <w:color w:val="000000"/>
                <w:sz w:val="20"/>
                <w:szCs w:val="20"/>
              </w:rPr>
              <w:t xml:space="preserve">4,960</w:t>
            </w:r>
          </w:p>
        </w:tc>
        <w:tc>
          <w:tcPr>
            <w:tcW w:type="dxa" w:w="1780"/>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b w:val="false"/>
                <w:bCs w:val="false"/>
                <w:i w:val="false"/>
                <w:iCs w:val="false"/>
                <w:color w:val="000000"/>
                <w:sz w:val="20"/>
                <w:szCs w:val="20"/>
              </w:rPr>
              <w:t xml:space="preserve">$46.61</w:t>
            </w:r>
          </w:p>
        </w:tc>
        <w:tc>
          <w:tcPr>
            <w:tcW w:type="dxa" w:w="1780"/>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b w:val="false"/>
                <w:bCs w:val="false"/>
                <w:i w:val="false"/>
                <w:iCs w:val="false"/>
                <w:color w:val="000000"/>
                <w:sz w:val="20"/>
                <w:szCs w:val="20"/>
              </w:rPr>
              <w:t xml:space="preserve">$96,960</w:t>
            </w:r>
          </w:p>
        </w:tc>
      </w:tr>
      <w:tr>
        <w:tc>
          <w:tcPr>
            <w:tcW w:type="dxa" w:w="4200"/>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left"/>
            </w:pPr>
            <w:r>
              <w:rPr>
                <w:rFonts w:ascii="Times New Roman" w:cs="Times New Roman" w:eastAsia="Times New Roman" w:hAnsi="Times New Roman"/>
                <w:b w:val="false"/>
                <w:bCs w:val="false"/>
                <w:i w:val="false"/>
                <w:iCs w:val="false"/>
                <w:color w:val="000000"/>
                <w:sz w:val="20"/>
                <w:szCs w:val="20"/>
              </w:rPr>
              <w:t xml:space="preserve">Healthcare Practitioners and Technical Occupations</w:t>
            </w:r>
          </w:p>
        </w:tc>
        <w:tc>
          <w:tcPr>
            <w:tcW w:type="dxa" w:w="1600"/>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b w:val="false"/>
                <w:bCs w:val="false"/>
                <w:i w:val="false"/>
                <w:iCs w:val="false"/>
                <w:color w:val="000000"/>
                <w:sz w:val="20"/>
                <w:szCs w:val="20"/>
              </w:rPr>
              <w:t xml:space="preserve">19,140</w:t>
            </w:r>
          </w:p>
        </w:tc>
        <w:tc>
          <w:tcPr>
            <w:tcW w:type="dxa" w:w="1780"/>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b w:val="false"/>
                <w:bCs w:val="false"/>
                <w:i w:val="false"/>
                <w:iCs w:val="false"/>
                <w:color w:val="000000"/>
                <w:sz w:val="20"/>
                <w:szCs w:val="20"/>
              </w:rPr>
              <w:t xml:space="preserve">$45.79</w:t>
            </w:r>
          </w:p>
        </w:tc>
        <w:tc>
          <w:tcPr>
            <w:tcW w:type="dxa" w:w="1780"/>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b w:val="false"/>
                <w:bCs w:val="false"/>
                <w:i w:val="false"/>
                <w:iCs w:val="false"/>
                <w:color w:val="000000"/>
                <w:sz w:val="20"/>
                <w:szCs w:val="20"/>
              </w:rPr>
              <w:t xml:space="preserve">$95,230</w:t>
            </w:r>
          </w:p>
        </w:tc>
      </w:tr>
      <w:tr>
        <w:tc>
          <w:tcPr>
            <w:tcW w:type="dxa" w:w="4200"/>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left"/>
            </w:pPr>
            <w:r>
              <w:rPr>
                <w:rFonts w:ascii="Times New Roman" w:cs="Times New Roman" w:eastAsia="Times New Roman" w:hAnsi="Times New Roman"/>
                <w:b w:val="false"/>
                <w:bCs w:val="false"/>
                <w:i w:val="false"/>
                <w:iCs w:val="false"/>
                <w:color w:val="000000"/>
                <w:sz w:val="20"/>
                <w:szCs w:val="20"/>
              </w:rPr>
              <w:t xml:space="preserve">Computer and Mathematical Occupations</w:t>
            </w:r>
          </w:p>
        </w:tc>
        <w:tc>
          <w:tcPr>
            <w:tcW w:type="dxa" w:w="1600"/>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b w:val="false"/>
                <w:bCs w:val="false"/>
                <w:i w:val="false"/>
                <w:iCs w:val="false"/>
                <w:color w:val="000000"/>
                <w:sz w:val="20"/>
                <w:szCs w:val="20"/>
              </w:rPr>
              <w:t xml:space="preserve">5,490</w:t>
            </w:r>
          </w:p>
        </w:tc>
        <w:tc>
          <w:tcPr>
            <w:tcW w:type="dxa" w:w="1780"/>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b w:val="false"/>
                <w:bCs w:val="false"/>
                <w:i w:val="false"/>
                <w:iCs w:val="false"/>
                <w:color w:val="000000"/>
                <w:sz w:val="20"/>
                <w:szCs w:val="20"/>
              </w:rPr>
              <w:t xml:space="preserve">$43.74</w:t>
            </w:r>
          </w:p>
        </w:tc>
        <w:tc>
          <w:tcPr>
            <w:tcW w:type="dxa" w:w="1780"/>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b w:val="false"/>
                <w:bCs w:val="false"/>
                <w:i w:val="false"/>
                <w:iCs w:val="false"/>
                <w:color w:val="000000"/>
                <w:sz w:val="20"/>
                <w:szCs w:val="20"/>
              </w:rPr>
              <w:t xml:space="preserve">$90,970</w:t>
            </w:r>
          </w:p>
        </w:tc>
      </w:tr>
      <w:tr>
        <w:tc>
          <w:tcPr>
            <w:tcW w:type="dxa" w:w="4200"/>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left"/>
            </w:pPr>
            <w:r>
              <w:rPr>
                <w:rFonts w:ascii="Times New Roman" w:cs="Times New Roman" w:eastAsia="Times New Roman" w:hAnsi="Times New Roman"/>
                <w:b w:val="false"/>
                <w:bCs w:val="false"/>
                <w:i w:val="false"/>
                <w:iCs w:val="false"/>
                <w:color w:val="000000"/>
                <w:sz w:val="20"/>
                <w:szCs w:val="20"/>
              </w:rPr>
              <w:t xml:space="preserve">Business and Financial Operations Occupations</w:t>
            </w:r>
          </w:p>
        </w:tc>
        <w:tc>
          <w:tcPr>
            <w:tcW w:type="dxa" w:w="1600"/>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b w:val="false"/>
                <w:bCs w:val="false"/>
                <w:i w:val="false"/>
                <w:iCs w:val="false"/>
                <w:color w:val="000000"/>
                <w:sz w:val="20"/>
                <w:szCs w:val="20"/>
              </w:rPr>
              <w:t xml:space="preserve">14,590</w:t>
            </w:r>
          </w:p>
        </w:tc>
        <w:tc>
          <w:tcPr>
            <w:tcW w:type="dxa" w:w="1780"/>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b w:val="false"/>
                <w:bCs w:val="false"/>
                <w:i w:val="false"/>
                <w:iCs w:val="false"/>
                <w:color w:val="000000"/>
                <w:sz w:val="20"/>
                <w:szCs w:val="20"/>
              </w:rPr>
              <w:t xml:space="preserve">$39.54</w:t>
            </w:r>
          </w:p>
        </w:tc>
        <w:tc>
          <w:tcPr>
            <w:tcW w:type="dxa" w:w="1780"/>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b w:val="false"/>
                <w:bCs w:val="false"/>
                <w:i w:val="false"/>
                <w:iCs w:val="false"/>
                <w:color w:val="000000"/>
                <w:sz w:val="20"/>
                <w:szCs w:val="20"/>
              </w:rPr>
              <w:t xml:space="preserve">$82,230</w:t>
            </w:r>
          </w:p>
        </w:tc>
      </w:tr>
      <w:tr>
        <w:tc>
          <w:tcPr>
            <w:tcW w:type="dxa" w:w="4200"/>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left"/>
            </w:pPr>
            <w:r>
              <w:rPr>
                <w:rFonts w:ascii="Times New Roman" w:cs="Times New Roman" w:eastAsia="Times New Roman" w:hAnsi="Times New Roman"/>
                <w:b w:val="false"/>
                <w:bCs w:val="false"/>
                <w:i w:val="false"/>
                <w:iCs w:val="false"/>
                <w:color w:val="000000"/>
                <w:sz w:val="20"/>
                <w:szCs w:val="20"/>
              </w:rPr>
              <w:t xml:space="preserve">Life, Physical, and Social Science Occupations</w:t>
            </w:r>
          </w:p>
        </w:tc>
        <w:tc>
          <w:tcPr>
            <w:tcW w:type="dxa" w:w="1600"/>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b w:val="false"/>
                <w:bCs w:val="false"/>
                <w:i w:val="false"/>
                <w:iCs w:val="false"/>
                <w:color w:val="000000"/>
                <w:sz w:val="20"/>
                <w:szCs w:val="20"/>
              </w:rPr>
              <w:t xml:space="preserve">1,090</w:t>
            </w:r>
          </w:p>
        </w:tc>
        <w:tc>
          <w:tcPr>
            <w:tcW w:type="dxa" w:w="1780"/>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b w:val="false"/>
                <w:bCs w:val="false"/>
                <w:i w:val="false"/>
                <w:iCs w:val="false"/>
                <w:color w:val="000000"/>
                <w:sz w:val="20"/>
                <w:szCs w:val="20"/>
              </w:rPr>
              <w:t xml:space="preserve">$38.96</w:t>
            </w:r>
          </w:p>
        </w:tc>
        <w:tc>
          <w:tcPr>
            <w:tcW w:type="dxa" w:w="1780"/>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b w:val="false"/>
                <w:bCs w:val="false"/>
                <w:i w:val="false"/>
                <w:iCs w:val="false"/>
                <w:color w:val="000000"/>
                <w:sz w:val="20"/>
                <w:szCs w:val="20"/>
              </w:rPr>
              <w:t xml:space="preserve">$81,030</w:t>
            </w:r>
          </w:p>
        </w:tc>
      </w:tr>
      <w:tr>
        <w:tc>
          <w:tcPr>
            <w:tcW w:type="dxa" w:w="4200"/>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left"/>
            </w:pPr>
            <w:r>
              <w:rPr>
                <w:rFonts w:ascii="Times New Roman" w:cs="Times New Roman" w:eastAsia="Times New Roman" w:hAnsi="Times New Roman"/>
                <w:b w:val="false"/>
                <w:bCs w:val="false"/>
                <w:i w:val="false"/>
                <w:iCs w:val="false"/>
                <w:color w:val="000000"/>
                <w:sz w:val="20"/>
                <w:szCs w:val="20"/>
              </w:rPr>
              <w:t xml:space="preserve">Arts, Design, Entertainment, Sports, and Media Occupations</w:t>
            </w:r>
          </w:p>
        </w:tc>
        <w:tc>
          <w:tcPr>
            <w:tcW w:type="dxa" w:w="1600"/>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b w:val="false"/>
                <w:bCs w:val="false"/>
                <w:i w:val="false"/>
                <w:iCs w:val="false"/>
                <w:color w:val="000000"/>
                <w:sz w:val="20"/>
                <w:szCs w:val="20"/>
              </w:rPr>
              <w:t xml:space="preserve">2,780</w:t>
            </w:r>
          </w:p>
        </w:tc>
        <w:tc>
          <w:tcPr>
            <w:tcW w:type="dxa" w:w="1780"/>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b w:val="false"/>
                <w:bCs w:val="false"/>
                <w:i w:val="false"/>
                <w:iCs w:val="false"/>
                <w:color w:val="000000"/>
                <w:sz w:val="20"/>
                <w:szCs w:val="20"/>
              </w:rPr>
              <w:t xml:space="preserve">$29.32</w:t>
            </w:r>
          </w:p>
        </w:tc>
        <w:tc>
          <w:tcPr>
            <w:tcW w:type="dxa" w:w="1780"/>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b w:val="false"/>
                <w:bCs w:val="false"/>
                <w:i w:val="false"/>
                <w:iCs w:val="false"/>
                <w:color w:val="000000"/>
                <w:sz w:val="20"/>
                <w:szCs w:val="20"/>
              </w:rPr>
              <w:t xml:space="preserve">$60,990</w:t>
            </w:r>
          </w:p>
        </w:tc>
      </w:tr>
      <w:tr>
        <w:tc>
          <w:tcPr>
            <w:tcW w:type="dxa" w:w="4200"/>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left"/>
            </w:pPr>
            <w:r>
              <w:rPr>
                <w:rFonts w:ascii="Times New Roman" w:cs="Times New Roman" w:eastAsia="Times New Roman" w:hAnsi="Times New Roman"/>
                <w:b w:val="false"/>
                <w:bCs w:val="false"/>
                <w:i w:val="false"/>
                <w:iCs w:val="false"/>
                <w:color w:val="000000"/>
                <w:sz w:val="20"/>
                <w:szCs w:val="20"/>
              </w:rPr>
              <w:t xml:space="preserve">Educational Instruction and Library Occupations</w:t>
            </w:r>
          </w:p>
        </w:tc>
        <w:tc>
          <w:tcPr>
            <w:tcW w:type="dxa" w:w="1600"/>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b w:val="false"/>
                <w:bCs w:val="false"/>
                <w:i w:val="false"/>
                <w:iCs w:val="false"/>
                <w:color w:val="000000"/>
                <w:sz w:val="20"/>
                <w:szCs w:val="20"/>
              </w:rPr>
              <w:t xml:space="preserve">11,620</w:t>
            </w:r>
          </w:p>
        </w:tc>
        <w:tc>
          <w:tcPr>
            <w:tcW w:type="dxa" w:w="1780"/>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b w:val="false"/>
                <w:bCs w:val="false"/>
                <w:i w:val="false"/>
                <w:iCs w:val="false"/>
                <w:color w:val="000000"/>
                <w:sz w:val="20"/>
                <w:szCs w:val="20"/>
              </w:rPr>
              <w:t xml:space="preserve">$28.00</w:t>
            </w:r>
          </w:p>
        </w:tc>
        <w:tc>
          <w:tcPr>
            <w:tcW w:type="dxa" w:w="1780"/>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b w:val="false"/>
                <w:bCs w:val="false"/>
                <w:i w:val="false"/>
                <w:iCs w:val="false"/>
                <w:color w:val="000000"/>
                <w:sz w:val="20"/>
                <w:szCs w:val="20"/>
              </w:rPr>
              <w:t xml:space="preserve">$58,250</w:t>
            </w:r>
          </w:p>
        </w:tc>
      </w:tr>
      <w:tr>
        <w:tc>
          <w:tcPr>
            <w:tcW w:type="dxa" w:w="4200"/>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left"/>
            </w:pPr>
            <w:r>
              <w:rPr>
                <w:rFonts w:ascii="Times New Roman" w:cs="Times New Roman" w:eastAsia="Times New Roman" w:hAnsi="Times New Roman"/>
                <w:b w:val="false"/>
                <w:bCs w:val="false"/>
                <w:i w:val="false"/>
                <w:iCs w:val="false"/>
                <w:color w:val="000000"/>
                <w:sz w:val="20"/>
                <w:szCs w:val="20"/>
              </w:rPr>
              <w:t xml:space="preserve">Installation, Maintenance, and Repair Occupations</w:t>
            </w:r>
          </w:p>
        </w:tc>
        <w:tc>
          <w:tcPr>
            <w:tcW w:type="dxa" w:w="1600"/>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b w:val="false"/>
                <w:bCs w:val="false"/>
                <w:i w:val="false"/>
                <w:iCs w:val="false"/>
                <w:color w:val="000000"/>
                <w:sz w:val="20"/>
                <w:szCs w:val="20"/>
              </w:rPr>
              <w:t xml:space="preserve">12,760</w:t>
            </w:r>
          </w:p>
        </w:tc>
        <w:tc>
          <w:tcPr>
            <w:tcW w:type="dxa" w:w="1780"/>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b w:val="false"/>
                <w:bCs w:val="false"/>
                <w:i w:val="false"/>
                <w:iCs w:val="false"/>
                <w:color w:val="000000"/>
                <w:sz w:val="20"/>
                <w:szCs w:val="20"/>
              </w:rPr>
              <w:t xml:space="preserve">$27.58</w:t>
            </w:r>
          </w:p>
        </w:tc>
        <w:tc>
          <w:tcPr>
            <w:tcW w:type="dxa" w:w="1780"/>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b w:val="false"/>
                <w:bCs w:val="false"/>
                <w:i w:val="false"/>
                <w:iCs w:val="false"/>
                <w:color w:val="000000"/>
                <w:sz w:val="20"/>
                <w:szCs w:val="20"/>
              </w:rPr>
              <w:t xml:space="preserve">$57,370</w:t>
            </w:r>
          </w:p>
        </w:tc>
      </w:tr>
      <w:tr>
        <w:tc>
          <w:tcPr>
            <w:tcW w:type="dxa" w:w="4200"/>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left"/>
            </w:pPr>
            <w:r>
              <w:rPr>
                <w:rFonts w:ascii="Times New Roman" w:cs="Times New Roman" w:eastAsia="Times New Roman" w:hAnsi="Times New Roman"/>
                <w:b w:val="false"/>
                <w:bCs w:val="false"/>
                <w:i w:val="false"/>
                <w:iCs w:val="false"/>
                <w:color w:val="000000"/>
                <w:sz w:val="20"/>
                <w:szCs w:val="20"/>
              </w:rPr>
              <w:t xml:space="preserve">Construction and Extraction Occupations</w:t>
            </w:r>
          </w:p>
        </w:tc>
        <w:tc>
          <w:tcPr>
            <w:tcW w:type="dxa" w:w="1600"/>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b w:val="false"/>
                <w:bCs w:val="false"/>
                <w:i w:val="false"/>
                <w:iCs w:val="false"/>
                <w:color w:val="000000"/>
                <w:sz w:val="20"/>
                <w:szCs w:val="20"/>
              </w:rPr>
              <w:t xml:space="preserve">10,130</w:t>
            </w:r>
          </w:p>
        </w:tc>
        <w:tc>
          <w:tcPr>
            <w:tcW w:type="dxa" w:w="1780"/>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b w:val="false"/>
                <w:bCs w:val="false"/>
                <w:i w:val="false"/>
                <w:iCs w:val="false"/>
                <w:color w:val="000000"/>
                <w:sz w:val="20"/>
                <w:szCs w:val="20"/>
              </w:rPr>
              <w:t xml:space="preserve">$27.43</w:t>
            </w:r>
          </w:p>
        </w:tc>
        <w:tc>
          <w:tcPr>
            <w:tcW w:type="dxa" w:w="1780"/>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b w:val="false"/>
                <w:bCs w:val="false"/>
                <w:i w:val="false"/>
                <w:iCs w:val="false"/>
                <w:color w:val="000000"/>
                <w:sz w:val="20"/>
                <w:szCs w:val="20"/>
              </w:rPr>
              <w:t xml:space="preserve">$57,040</w:t>
            </w:r>
          </w:p>
        </w:tc>
      </w:tr>
      <w:tr>
        <w:tc>
          <w:tcPr>
            <w:tcW w:type="dxa" w:w="4200"/>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left"/>
            </w:pPr>
            <w:r>
              <w:rPr>
                <w:rFonts w:ascii="Times New Roman" w:cs="Times New Roman" w:eastAsia="Times New Roman" w:hAnsi="Times New Roman"/>
                <w:b w:val="false"/>
                <w:bCs w:val="false"/>
                <w:i w:val="false"/>
                <w:iCs w:val="false"/>
                <w:color w:val="000000"/>
                <w:sz w:val="20"/>
                <w:szCs w:val="20"/>
              </w:rPr>
              <w:t xml:space="preserve">Community and Social Service Occupations</w:t>
            </w:r>
          </w:p>
        </w:tc>
        <w:tc>
          <w:tcPr>
            <w:tcW w:type="dxa" w:w="1600"/>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b w:val="false"/>
                <w:bCs w:val="false"/>
                <w:i w:val="false"/>
                <w:iCs w:val="false"/>
                <w:color w:val="000000"/>
                <w:sz w:val="20"/>
                <w:szCs w:val="20"/>
              </w:rPr>
              <w:t xml:space="preserve">4,030</w:t>
            </w:r>
          </w:p>
        </w:tc>
        <w:tc>
          <w:tcPr>
            <w:tcW w:type="dxa" w:w="1780"/>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b w:val="false"/>
                <w:bCs w:val="false"/>
                <w:i w:val="false"/>
                <w:iCs w:val="false"/>
                <w:color w:val="000000"/>
                <w:sz w:val="20"/>
                <w:szCs w:val="20"/>
              </w:rPr>
              <w:t xml:space="preserve">$26.61</w:t>
            </w:r>
          </w:p>
        </w:tc>
        <w:tc>
          <w:tcPr>
            <w:tcW w:type="dxa" w:w="1780"/>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b w:val="false"/>
                <w:bCs w:val="false"/>
                <w:i w:val="false"/>
                <w:iCs w:val="false"/>
                <w:color w:val="000000"/>
                <w:sz w:val="20"/>
                <w:szCs w:val="20"/>
              </w:rPr>
              <w:t xml:space="preserve">$55,340</w:t>
            </w:r>
          </w:p>
        </w:tc>
      </w:tr>
      <w:tr>
        <w:tc>
          <w:tcPr>
            <w:tcW w:type="dxa" w:w="4200"/>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left"/>
            </w:pPr>
            <w:r>
              <w:rPr>
                <w:rFonts w:ascii="Times New Roman" w:cs="Times New Roman" w:eastAsia="Times New Roman" w:hAnsi="Times New Roman"/>
                <w:b w:val="false"/>
                <w:bCs w:val="false"/>
                <w:i w:val="false"/>
                <w:iCs w:val="false"/>
                <w:color w:val="000000"/>
                <w:sz w:val="20"/>
                <w:szCs w:val="20"/>
              </w:rPr>
              <w:t xml:space="preserve">Protective Service Occupations</w:t>
            </w:r>
          </w:p>
        </w:tc>
        <w:tc>
          <w:tcPr>
            <w:tcW w:type="dxa" w:w="1600"/>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b w:val="false"/>
                <w:bCs w:val="false"/>
                <w:i w:val="false"/>
                <w:iCs w:val="false"/>
                <w:color w:val="000000"/>
                <w:sz w:val="20"/>
                <w:szCs w:val="20"/>
              </w:rPr>
              <w:t xml:space="preserve">5,000</w:t>
            </w:r>
          </w:p>
        </w:tc>
        <w:tc>
          <w:tcPr>
            <w:tcW w:type="dxa" w:w="1780"/>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b w:val="false"/>
                <w:bCs w:val="false"/>
                <w:i w:val="false"/>
                <w:iCs w:val="false"/>
                <w:color w:val="000000"/>
                <w:sz w:val="20"/>
                <w:szCs w:val="20"/>
              </w:rPr>
              <w:t xml:space="preserve">$24.85</w:t>
            </w:r>
          </w:p>
        </w:tc>
        <w:tc>
          <w:tcPr>
            <w:tcW w:type="dxa" w:w="1780"/>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b w:val="false"/>
                <w:bCs w:val="false"/>
                <w:i w:val="false"/>
                <w:iCs w:val="false"/>
                <w:color w:val="000000"/>
                <w:sz w:val="20"/>
                <w:szCs w:val="20"/>
              </w:rPr>
              <w:t xml:space="preserve">$51,680</w:t>
            </w:r>
          </w:p>
        </w:tc>
      </w:tr>
      <w:tr>
        <w:tc>
          <w:tcPr>
            <w:tcW w:type="dxa" w:w="4200"/>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left"/>
            </w:pPr>
            <w:r>
              <w:rPr>
                <w:rFonts w:ascii="Times New Roman" w:cs="Times New Roman" w:eastAsia="Times New Roman" w:hAnsi="Times New Roman"/>
                <w:b w:val="false"/>
                <w:bCs w:val="false"/>
                <w:i w:val="false"/>
                <w:iCs w:val="false"/>
                <w:color w:val="000000"/>
                <w:sz w:val="20"/>
                <w:szCs w:val="20"/>
              </w:rPr>
              <w:t xml:space="preserve">Production Occupations</w:t>
            </w:r>
          </w:p>
        </w:tc>
        <w:tc>
          <w:tcPr>
            <w:tcW w:type="dxa" w:w="1600"/>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b w:val="false"/>
                <w:bCs w:val="false"/>
                <w:i w:val="false"/>
                <w:iCs w:val="false"/>
                <w:color w:val="000000"/>
                <w:sz w:val="20"/>
                <w:szCs w:val="20"/>
              </w:rPr>
              <w:t xml:space="preserve">26,250</w:t>
            </w:r>
          </w:p>
        </w:tc>
        <w:tc>
          <w:tcPr>
            <w:tcW w:type="dxa" w:w="1780"/>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b w:val="false"/>
                <w:bCs w:val="false"/>
                <w:i w:val="false"/>
                <w:iCs w:val="false"/>
                <w:color w:val="000000"/>
                <w:sz w:val="20"/>
                <w:szCs w:val="20"/>
              </w:rPr>
              <w:t xml:space="preserve">$23.45</w:t>
            </w:r>
          </w:p>
        </w:tc>
        <w:tc>
          <w:tcPr>
            <w:tcW w:type="dxa" w:w="1780"/>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b w:val="false"/>
                <w:bCs w:val="false"/>
                <w:i w:val="false"/>
                <w:iCs w:val="false"/>
                <w:color w:val="000000"/>
                <w:sz w:val="20"/>
                <w:szCs w:val="20"/>
              </w:rPr>
              <w:t xml:space="preserve">$48,770</w:t>
            </w:r>
          </w:p>
        </w:tc>
      </w:tr>
      <w:tr>
        <w:tc>
          <w:tcPr>
            <w:tcW w:type="dxa" w:w="4200"/>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left"/>
            </w:pPr>
            <w:r>
              <w:rPr>
                <w:rFonts w:ascii="Times New Roman" w:cs="Times New Roman" w:eastAsia="Times New Roman" w:hAnsi="Times New Roman"/>
                <w:b w:val="false"/>
                <w:bCs w:val="false"/>
                <w:i w:val="false"/>
                <w:iCs w:val="false"/>
                <w:color w:val="000000"/>
                <w:sz w:val="20"/>
                <w:szCs w:val="20"/>
              </w:rPr>
              <w:t xml:space="preserve">Office and Administrative Support Occupations</w:t>
            </w:r>
          </w:p>
        </w:tc>
        <w:tc>
          <w:tcPr>
            <w:tcW w:type="dxa" w:w="1600"/>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b w:val="false"/>
                <w:bCs w:val="false"/>
                <w:i w:val="false"/>
                <w:iCs w:val="false"/>
                <w:color w:val="000000"/>
                <w:sz w:val="20"/>
                <w:szCs w:val="20"/>
              </w:rPr>
              <w:t xml:space="preserve">33,970</w:t>
            </w:r>
          </w:p>
        </w:tc>
        <w:tc>
          <w:tcPr>
            <w:tcW w:type="dxa" w:w="1780"/>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b w:val="false"/>
                <w:bCs w:val="false"/>
                <w:i w:val="false"/>
                <w:iCs w:val="false"/>
                <w:color w:val="000000"/>
                <w:sz w:val="20"/>
                <w:szCs w:val="20"/>
              </w:rPr>
              <w:t xml:space="preserve">$22.68</w:t>
            </w:r>
          </w:p>
        </w:tc>
        <w:tc>
          <w:tcPr>
            <w:tcW w:type="dxa" w:w="1780"/>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b w:val="false"/>
                <w:bCs w:val="false"/>
                <w:i w:val="false"/>
                <w:iCs w:val="false"/>
                <w:color w:val="000000"/>
                <w:sz w:val="20"/>
                <w:szCs w:val="20"/>
              </w:rPr>
              <w:t xml:space="preserve">$47,170</w:t>
            </w:r>
          </w:p>
        </w:tc>
      </w:tr>
      <w:tr>
        <w:tc>
          <w:tcPr>
            <w:tcW w:type="dxa" w:w="4200"/>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left"/>
            </w:pPr>
            <w:r>
              <w:rPr>
                <w:rFonts w:ascii="Times New Roman" w:cs="Times New Roman" w:eastAsia="Times New Roman" w:hAnsi="Times New Roman"/>
                <w:b w:val="false"/>
                <w:bCs w:val="false"/>
                <w:i w:val="false"/>
                <w:iCs w:val="false"/>
                <w:color w:val="000000"/>
                <w:sz w:val="20"/>
                <w:szCs w:val="20"/>
              </w:rPr>
              <w:t xml:space="preserve">Sales and Related Occupations</w:t>
            </w:r>
          </w:p>
        </w:tc>
        <w:tc>
          <w:tcPr>
            <w:tcW w:type="dxa" w:w="1600"/>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b w:val="false"/>
                <w:bCs w:val="false"/>
                <w:i w:val="false"/>
                <w:iCs w:val="false"/>
                <w:color w:val="000000"/>
                <w:sz w:val="20"/>
                <w:szCs w:val="20"/>
              </w:rPr>
              <w:t xml:space="preserve">22,440</w:t>
            </w:r>
          </w:p>
        </w:tc>
        <w:tc>
          <w:tcPr>
            <w:tcW w:type="dxa" w:w="1780"/>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b w:val="false"/>
                <w:bCs w:val="false"/>
                <w:i w:val="false"/>
                <w:iCs w:val="false"/>
                <w:color w:val="000000"/>
                <w:sz w:val="20"/>
                <w:szCs w:val="20"/>
              </w:rPr>
              <w:t xml:space="preserve">$22.01</w:t>
            </w:r>
          </w:p>
        </w:tc>
        <w:tc>
          <w:tcPr>
            <w:tcW w:type="dxa" w:w="1780"/>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b w:val="false"/>
                <w:bCs w:val="false"/>
                <w:i w:val="false"/>
                <w:iCs w:val="false"/>
                <w:color w:val="000000"/>
                <w:sz w:val="20"/>
                <w:szCs w:val="20"/>
              </w:rPr>
              <w:t xml:space="preserve">$45,770</w:t>
            </w:r>
          </w:p>
        </w:tc>
      </w:tr>
      <w:tr>
        <w:tc>
          <w:tcPr>
            <w:tcW w:type="dxa" w:w="4200"/>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left"/>
            </w:pPr>
            <w:r>
              <w:rPr>
                <w:rFonts w:ascii="Times New Roman" w:cs="Times New Roman" w:eastAsia="Times New Roman" w:hAnsi="Times New Roman"/>
                <w:b w:val="false"/>
                <w:bCs w:val="false"/>
                <w:i w:val="false"/>
                <w:iCs w:val="false"/>
                <w:color w:val="000000"/>
                <w:sz w:val="20"/>
                <w:szCs w:val="20"/>
              </w:rPr>
              <w:t xml:space="preserve">Transportation and Material Moving Occupations</w:t>
            </w:r>
          </w:p>
        </w:tc>
        <w:tc>
          <w:tcPr>
            <w:tcW w:type="dxa" w:w="1600"/>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b w:val="false"/>
                <w:bCs w:val="false"/>
                <w:i w:val="false"/>
                <w:iCs w:val="false"/>
                <w:color w:val="000000"/>
                <w:sz w:val="20"/>
                <w:szCs w:val="20"/>
              </w:rPr>
              <w:t xml:space="preserve">28,050</w:t>
            </w:r>
          </w:p>
        </w:tc>
        <w:tc>
          <w:tcPr>
            <w:tcW w:type="dxa" w:w="1780"/>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b w:val="false"/>
                <w:bCs w:val="false"/>
                <w:i w:val="false"/>
                <w:iCs w:val="false"/>
                <w:color w:val="000000"/>
                <w:sz w:val="20"/>
                <w:szCs w:val="20"/>
              </w:rPr>
              <w:t xml:space="preserve">$20.87</w:t>
            </w:r>
          </w:p>
        </w:tc>
        <w:tc>
          <w:tcPr>
            <w:tcW w:type="dxa" w:w="1780"/>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b w:val="false"/>
                <w:bCs w:val="false"/>
                <w:i w:val="false"/>
                <w:iCs w:val="false"/>
                <w:color w:val="000000"/>
                <w:sz w:val="20"/>
                <w:szCs w:val="20"/>
              </w:rPr>
              <w:t xml:space="preserve">$43,410</w:t>
            </w:r>
          </w:p>
        </w:tc>
      </w:tr>
      <w:tr>
        <w:tc>
          <w:tcPr>
            <w:tcW w:type="dxa" w:w="4200"/>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left"/>
            </w:pPr>
            <w:r>
              <w:rPr>
                <w:rFonts w:ascii="Times New Roman" w:cs="Times New Roman" w:eastAsia="Times New Roman" w:hAnsi="Times New Roman"/>
                <w:b w:val="false"/>
                <w:bCs w:val="false"/>
                <w:i w:val="false"/>
                <w:iCs w:val="false"/>
                <w:color w:val="000000"/>
                <w:sz w:val="20"/>
                <w:szCs w:val="20"/>
              </w:rPr>
              <w:t xml:space="preserve">Healthcare Support Occupations</w:t>
            </w:r>
          </w:p>
        </w:tc>
        <w:tc>
          <w:tcPr>
            <w:tcW w:type="dxa" w:w="1600"/>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b w:val="false"/>
                <w:bCs w:val="false"/>
                <w:i w:val="false"/>
                <w:iCs w:val="false"/>
                <w:color w:val="000000"/>
                <w:sz w:val="20"/>
                <w:szCs w:val="20"/>
              </w:rPr>
              <w:t xml:space="preserve">9,790</w:t>
            </w:r>
          </w:p>
        </w:tc>
        <w:tc>
          <w:tcPr>
            <w:tcW w:type="dxa" w:w="1780"/>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b w:val="false"/>
                <w:bCs w:val="false"/>
                <w:i w:val="false"/>
                <w:iCs w:val="false"/>
                <w:color w:val="000000"/>
                <w:sz w:val="20"/>
                <w:szCs w:val="20"/>
              </w:rPr>
              <w:t xml:space="preserve">$19.08</w:t>
            </w:r>
          </w:p>
        </w:tc>
        <w:tc>
          <w:tcPr>
            <w:tcW w:type="dxa" w:w="1780"/>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b w:val="false"/>
                <w:bCs w:val="false"/>
                <w:i w:val="false"/>
                <w:iCs w:val="false"/>
                <w:color w:val="000000"/>
                <w:sz w:val="20"/>
                <w:szCs w:val="20"/>
              </w:rPr>
              <w:t xml:space="preserve">$39,690</w:t>
            </w:r>
          </w:p>
        </w:tc>
      </w:tr>
      <w:tr>
        <w:tc>
          <w:tcPr>
            <w:tcW w:type="dxa" w:w="4200"/>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left"/>
            </w:pPr>
            <w:r>
              <w:rPr>
                <w:rFonts w:ascii="Times New Roman" w:cs="Times New Roman" w:eastAsia="Times New Roman" w:hAnsi="Times New Roman"/>
                <w:b w:val="false"/>
                <w:bCs w:val="false"/>
                <w:i w:val="false"/>
                <w:iCs w:val="false"/>
                <w:color w:val="000000"/>
                <w:sz w:val="20"/>
                <w:szCs w:val="20"/>
              </w:rPr>
              <w:t xml:space="preserve">Farming, Fishing, and Forestry Occupations</w:t>
            </w:r>
          </w:p>
        </w:tc>
        <w:tc>
          <w:tcPr>
            <w:tcW w:type="dxa" w:w="1600"/>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b w:val="false"/>
                <w:bCs w:val="false"/>
                <w:i w:val="false"/>
                <w:iCs w:val="false"/>
                <w:color w:val="000000"/>
                <w:sz w:val="20"/>
                <w:szCs w:val="20"/>
              </w:rPr>
              <w:t xml:space="preserve">270</w:t>
            </w:r>
          </w:p>
        </w:tc>
        <w:tc>
          <w:tcPr>
            <w:tcW w:type="dxa" w:w="1780"/>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b w:val="false"/>
                <w:bCs w:val="false"/>
                <w:i w:val="false"/>
                <w:iCs w:val="false"/>
                <w:color w:val="000000"/>
                <w:sz w:val="20"/>
                <w:szCs w:val="20"/>
              </w:rPr>
              <w:t xml:space="preserve">$18.97</w:t>
            </w:r>
          </w:p>
        </w:tc>
        <w:tc>
          <w:tcPr>
            <w:tcW w:type="dxa" w:w="1780"/>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b w:val="false"/>
                <w:bCs w:val="false"/>
                <w:i w:val="false"/>
                <w:iCs w:val="false"/>
                <w:color w:val="000000"/>
                <w:sz w:val="20"/>
                <w:szCs w:val="20"/>
              </w:rPr>
              <w:t xml:space="preserve">$39,450</w:t>
            </w:r>
          </w:p>
        </w:tc>
      </w:tr>
      <w:tr>
        <w:tc>
          <w:tcPr>
            <w:tcW w:type="dxa" w:w="4200"/>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left"/>
            </w:pPr>
            <w:r>
              <w:rPr>
                <w:rFonts w:ascii="Times New Roman" w:cs="Times New Roman" w:eastAsia="Times New Roman" w:hAnsi="Times New Roman"/>
                <w:b w:val="false"/>
                <w:bCs w:val="false"/>
                <w:i w:val="false"/>
                <w:iCs w:val="false"/>
                <w:color w:val="000000"/>
                <w:sz w:val="20"/>
                <w:szCs w:val="20"/>
              </w:rPr>
              <w:t xml:space="preserve">Building and Grounds Cleaning and Maintenance Occupations</w:t>
            </w:r>
          </w:p>
        </w:tc>
        <w:tc>
          <w:tcPr>
            <w:tcW w:type="dxa" w:w="1600"/>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b w:val="false"/>
                <w:bCs w:val="false"/>
                <w:i w:val="false"/>
                <w:iCs w:val="false"/>
                <w:color w:val="000000"/>
                <w:sz w:val="20"/>
                <w:szCs w:val="20"/>
              </w:rPr>
              <w:t xml:space="preserve">8,020</w:t>
            </w:r>
          </w:p>
        </w:tc>
        <w:tc>
          <w:tcPr>
            <w:tcW w:type="dxa" w:w="1780"/>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b w:val="false"/>
                <w:bCs w:val="false"/>
                <w:i w:val="false"/>
                <w:iCs w:val="false"/>
                <w:color w:val="000000"/>
                <w:sz w:val="20"/>
                <w:szCs w:val="20"/>
              </w:rPr>
              <w:t xml:space="preserve">$17.04</w:t>
            </w:r>
          </w:p>
        </w:tc>
        <w:tc>
          <w:tcPr>
            <w:tcW w:type="dxa" w:w="1780"/>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b w:val="false"/>
                <w:bCs w:val="false"/>
                <w:i w:val="false"/>
                <w:iCs w:val="false"/>
                <w:color w:val="000000"/>
                <w:sz w:val="20"/>
                <w:szCs w:val="20"/>
              </w:rPr>
              <w:t xml:space="preserve">$35,430</w:t>
            </w:r>
          </w:p>
        </w:tc>
      </w:tr>
      <w:tr>
        <w:tc>
          <w:tcPr>
            <w:tcW w:type="dxa" w:w="4200"/>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left"/>
            </w:pPr>
            <w:r>
              <w:rPr>
                <w:rFonts w:ascii="Times New Roman" w:cs="Times New Roman" w:eastAsia="Times New Roman" w:hAnsi="Times New Roman"/>
                <w:b w:val="false"/>
                <w:bCs w:val="false"/>
                <w:i w:val="false"/>
                <w:iCs w:val="false"/>
                <w:color w:val="000000"/>
                <w:sz w:val="20"/>
                <w:szCs w:val="20"/>
              </w:rPr>
              <w:t xml:space="preserve">Personal Care and Service Occupations</w:t>
            </w:r>
          </w:p>
        </w:tc>
        <w:tc>
          <w:tcPr>
            <w:tcW w:type="dxa" w:w="1600"/>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b w:val="false"/>
                <w:bCs w:val="false"/>
                <w:i w:val="false"/>
                <w:iCs w:val="false"/>
                <w:color w:val="000000"/>
                <w:sz w:val="20"/>
                <w:szCs w:val="20"/>
              </w:rPr>
              <w:t xml:space="preserve">4,770</w:t>
            </w:r>
          </w:p>
        </w:tc>
        <w:tc>
          <w:tcPr>
            <w:tcW w:type="dxa" w:w="1780"/>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b w:val="false"/>
                <w:bCs w:val="false"/>
                <w:i w:val="false"/>
                <w:iCs w:val="false"/>
                <w:color w:val="000000"/>
                <w:sz w:val="20"/>
                <w:szCs w:val="20"/>
              </w:rPr>
              <w:t xml:space="preserve">$16.50</w:t>
            </w:r>
          </w:p>
        </w:tc>
        <w:tc>
          <w:tcPr>
            <w:tcW w:type="dxa" w:w="1780"/>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b w:val="false"/>
                <w:bCs w:val="false"/>
                <w:i w:val="false"/>
                <w:iCs w:val="false"/>
                <w:color w:val="000000"/>
                <w:sz w:val="20"/>
                <w:szCs w:val="20"/>
              </w:rPr>
              <w:t xml:space="preserve">$34,310</w:t>
            </w:r>
          </w:p>
        </w:tc>
      </w:tr>
      <w:tr>
        <w:tc>
          <w:tcPr>
            <w:tcW w:type="dxa" w:w="4200"/>
            <w:tcBorders>
              <w:top w:val="single" w:color="1A305B" w:sz="1"/>
              <w:left w:val="single" w:color="1A305B" w:sz="1"/>
              <w:bottom w:val="single" w:color="1A305B" w:sz="1"/>
              <w:right w:val="single" w:color="1A305B" w:sz="1"/>
            </w:tcBorders>
            <w:shd w:fill="D5E8F5" w:color="auto" w:val="clear"/>
            <w:tcMar>
              <w:top w:type="dxa" w:w="61"/>
              <w:left w:type="dxa" w:w="100"/>
              <w:bottom w:type="dxa" w:w="61"/>
              <w:right w:type="dxa" w:w="100"/>
            </w:tcMar>
          </w:tcPr>
          <w:p>
            <w:pPr>
              <w:jc w:val="left"/>
            </w:pPr>
            <w:r>
              <w:rPr>
                <w:rFonts w:ascii="Times New Roman" w:cs="Times New Roman" w:eastAsia="Times New Roman" w:hAnsi="Times New Roman"/>
                <w:b w:val="false"/>
                <w:bCs w:val="false"/>
                <w:i w:val="false"/>
                <w:iCs w:val="false"/>
                <w:color w:val="000000"/>
                <w:sz w:val="20"/>
                <w:szCs w:val="20"/>
              </w:rPr>
              <w:t xml:space="preserve">Food Preparation and Serving Related Occupations</w:t>
            </w:r>
          </w:p>
        </w:tc>
        <w:tc>
          <w:tcPr>
            <w:tcW w:type="dxa" w:w="1600"/>
            <w:tcBorders>
              <w:top w:val="single" w:color="1A305B" w:sz="1"/>
              <w:left w:val="single" w:color="1A305B" w:sz="1"/>
              <w:bottom w:val="single" w:color="1A305B" w:sz="1"/>
              <w:right w:val="single" w:color="1A305B" w:sz="1"/>
            </w:tcBorders>
            <w:shd w:fill="D5E8F5" w:color="auto" w:val="clear"/>
            <w:tcMar>
              <w:top w:type="dxa" w:w="61"/>
              <w:left w:type="dxa" w:w="100"/>
              <w:bottom w:type="dxa" w:w="61"/>
              <w:right w:type="dxa" w:w="100"/>
            </w:tcMar>
          </w:tcPr>
          <w:p>
            <w:pPr>
              <w:jc w:val="center"/>
            </w:pPr>
            <w:r>
              <w:rPr>
                <w:rFonts w:ascii="Times New Roman" w:cs="Times New Roman" w:eastAsia="Times New Roman" w:hAnsi="Times New Roman"/>
                <w:b w:val="false"/>
                <w:bCs w:val="false"/>
                <w:i w:val="false"/>
                <w:iCs w:val="false"/>
                <w:color w:val="000000"/>
                <w:sz w:val="20"/>
                <w:szCs w:val="20"/>
              </w:rPr>
              <w:t xml:space="preserve">25,880</w:t>
            </w:r>
          </w:p>
        </w:tc>
        <w:tc>
          <w:tcPr>
            <w:tcW w:type="dxa" w:w="1780"/>
            <w:tcBorders>
              <w:top w:val="single" w:color="1A305B" w:sz="1"/>
              <w:left w:val="single" w:color="1A305B" w:sz="1"/>
              <w:bottom w:val="single" w:color="1A305B" w:sz="1"/>
              <w:right w:val="single" w:color="1A305B" w:sz="1"/>
            </w:tcBorders>
            <w:shd w:fill="D5E8F5" w:color="auto" w:val="clear"/>
            <w:tcMar>
              <w:top w:type="dxa" w:w="61"/>
              <w:left w:type="dxa" w:w="100"/>
              <w:bottom w:type="dxa" w:w="61"/>
              <w:right w:type="dxa" w:w="100"/>
            </w:tcMar>
          </w:tcPr>
          <w:p>
            <w:pPr>
              <w:jc w:val="center"/>
            </w:pPr>
            <w:r>
              <w:rPr>
                <w:rFonts w:ascii="Times New Roman" w:cs="Times New Roman" w:eastAsia="Times New Roman" w:hAnsi="Times New Roman"/>
                <w:b w:val="false"/>
                <w:bCs w:val="false"/>
                <w:i w:val="false"/>
                <w:iCs w:val="false"/>
                <w:color w:val="000000"/>
                <w:sz w:val="20"/>
                <w:szCs w:val="20"/>
              </w:rPr>
              <w:t xml:space="preserve">$14.86</w:t>
            </w:r>
          </w:p>
        </w:tc>
        <w:tc>
          <w:tcPr>
            <w:tcW w:type="dxa" w:w="1780"/>
            <w:tcBorders>
              <w:top w:val="single" w:color="1A305B" w:sz="1"/>
              <w:left w:val="single" w:color="1A305B" w:sz="1"/>
              <w:bottom w:val="single" w:color="1A305B" w:sz="1"/>
              <w:right w:val="single" w:color="1A305B" w:sz="1"/>
            </w:tcBorders>
            <w:shd w:fill="D5E8F5" w:color="auto" w:val="clear"/>
            <w:tcMar>
              <w:top w:type="dxa" w:w="61"/>
              <w:left w:type="dxa" w:w="100"/>
              <w:bottom w:type="dxa" w:w="61"/>
              <w:right w:type="dxa" w:w="100"/>
            </w:tcMar>
          </w:tcPr>
          <w:p>
            <w:pPr>
              <w:jc w:val="center"/>
            </w:pPr>
            <w:r>
              <w:rPr>
                <w:rFonts w:ascii="Times New Roman" w:cs="Times New Roman" w:eastAsia="Times New Roman" w:hAnsi="Times New Roman"/>
                <w:b w:val="false"/>
                <w:bCs w:val="false"/>
                <w:i w:val="false"/>
                <w:iCs w:val="false"/>
                <w:color w:val="000000"/>
                <w:sz w:val="20"/>
                <w:szCs w:val="20"/>
              </w:rPr>
              <w:t xml:space="preserve">$30,900</w:t>
            </w:r>
          </w:p>
        </w:tc>
      </w:tr>
    </w:tbl>
    <w:p>
      <w:pPr>
        <w:spacing w:before="40"/>
      </w:pPr>
      <w:r>
        <w:rPr>
          <w:rFonts w:ascii="Times New Roman" w:cs="Times New Roman" w:eastAsia="Times New Roman" w:hAnsi="Times New Roman"/>
          <w:i w:val="false"/>
          <w:iCs w:val="false"/>
          <w:color w:val="000000"/>
          <w:sz w:val="20"/>
          <w:szCs w:val="20"/>
        </w:rPr>
        <w:t xml:space="preserve">Source: Bureau of Labor Statistics, Occupational Employment and Wage Statistics (OES)</w:t>
      </w:r>
    </w:p>
    <w:p>
      <w:pPr>
        <w:spacing w:before="120"/>
      </w:pPr>
    </w:p>
    <w:p>
      <w:pPr>
        <w:spacing w:after="120"/>
        <w:jc w:val="both"/>
      </w:pPr>
      <w:r>
        <w:rPr>
          <w:rFonts w:ascii="Times New Roman" w:cs="Times New Roman" w:eastAsia="Times New Roman" w:hAnsi="Times New Roman"/>
          <w:color w:val="000000"/>
          <w:sz w:val="24"/>
          <w:szCs w:val="24"/>
        </w:rPr>
        <w:t xml:space="preserve">The above chart shows average hourly and annual wages by employment classification. The classification with the lowest average hourly wage was food preparation and serving related occupations, at $14.86 per hour. The highest average hourly wage of $61.95 was for management occupations.</w:t>
      </w:r>
    </w:p>
    <w:p>
      <w:r>
        <w:br w:type="page"/>
      </w:r>
    </w:p>
    <w:p>
      <w:pPr>
        <w:pStyle w:val="Heading1"/>
        <w:spacing w:after="0" w:before="0"/>
      </w:pPr>
      <w:r>
        <w:rPr>
          <w:rFonts w:ascii="Times New Roman" w:cs="Times New Roman" w:eastAsia="Times New Roman" w:hAnsi="Times New Roman"/>
          <w:b/>
          <w:bCs/>
          <w:i w:val="false"/>
          <w:iCs w:val="false"/>
          <w:color w:val="000000"/>
          <w:sz w:val="24"/>
          <w:szCs w:val="24"/>
        </w:rPr>
        <w:t xml:space="preserve">Building Permits</w:t>
      </w:r>
    </w:p>
    <w:p>
      <w:pPr>
        <w:spacing w:after="120"/>
        <w:jc w:val="both"/>
      </w:pPr>
      <w:r>
        <w:rPr>
          <w:rFonts w:ascii="Times New Roman" w:cs="Times New Roman" w:eastAsia="Times New Roman" w:hAnsi="Times New Roman"/>
          <w:color w:val="000000"/>
          <w:sz w:val="24"/>
          <w:szCs w:val="24"/>
        </w:rPr>
        <w:t xml:space="preserve">The following table demonstrates building permit information from 2015 through 2026 YTD in Chattanooga.</w:t>
      </w:r>
    </w:p>
    <w:p>
      <w:pPr>
        <w:spacing w:after="120" w:before="120"/>
        <w:jc w:val="center"/>
      </w:pPr>
      <w:r>
        <w:drawing>
          <wp:inline distT="0" distB="0" distL="0" distR="0">
            <wp:extent cx="5715000" cy="3048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715000" cy="3048000"/>
                    </a:xfrm>
                    <a:prstGeom prst="rect">
                      <a:avLst/>
                    </a:prstGeom>
                  </pic:spPr>
                </pic:pic>
              </a:graphicData>
            </a:graphic>
          </wp:inline>
        </w:drawing>
      </w:r>
    </w:p>
    <w:p>
      <w:pPr>
        <w:spacing w:before="120"/>
      </w:pPr>
    </w:p>
    <w:p>
      <w:pPr>
        <w:spacing w:after="120"/>
        <w:jc w:val="both"/>
      </w:pPr>
      <w:r>
        <w:rPr>
          <w:rFonts w:ascii="Times New Roman" w:cs="Times New Roman" w:eastAsia="Times New Roman" w:hAnsi="Times New Roman"/>
          <w:color w:val="000000"/>
          <w:sz w:val="24"/>
          <w:szCs w:val="24"/>
        </w:rPr>
        <w:t xml:space="preserve">Between 2015 and 2025, single-family permits in Chattanooga peaked at 793 units in 2025 and were lowest at 434 units in 2019. Multifamily permits peaked at 773 units in 2022; 8 of the 11 years (2016 through 2017 and 2019 through 2024) exceeded the period average of 509 multifamily units per year. 2026 YTD through August 2026 shows 560 single-family and 84 multifamily units.</w:t>
      </w:r>
    </w:p>
    <w:p>
      <w:r>
        <w:br w:type="page"/>
      </w:r>
    </w:p>
    <w:p>
      <w:pPr>
        <w:pStyle w:val="Heading1"/>
        <w:spacing w:after="0" w:before="0"/>
      </w:pPr>
      <w:r>
        <w:rPr>
          <w:rFonts w:ascii="Times New Roman" w:cs="Times New Roman" w:eastAsia="Times New Roman" w:hAnsi="Times New Roman"/>
          <w:b/>
          <w:bCs/>
          <w:i w:val="false"/>
          <w:iCs w:val="false"/>
          <w:color w:val="000000"/>
          <w:sz w:val="24"/>
          <w:szCs w:val="24"/>
        </w:rPr>
        <w:t xml:space="preserve">Sources</w:t>
      </w:r>
    </w:p>
    <w:p>
      <w:pPr>
        <w:spacing w:after="80"/>
      </w:pPr>
      <w:r>
        <w:rPr>
          <w:rFonts w:ascii="Times New Roman" w:cs="Times New Roman" w:eastAsia="Times New Roman" w:hAnsi="Times New Roman"/>
          <w:color w:val="000000"/>
          <w:sz w:val="24"/>
          <w:szCs w:val="24"/>
        </w:rPr>
        <w:t xml:space="preserve">Flood Zone: FEMA National Flood Hazard Layer (NFHL), Flood Hazard Zones layer, queried at the subject coordinates — </w:t>
      </w:r>
      <w:hyperlink w:history="1" r:id="rIdm3asxwjyqyadyer2wvyz-">
        <w:r>
          <w:rPr>
            <w:rFonts w:ascii="Times New Roman" w:cs="Times New Roman" w:eastAsia="Times New Roman" w:hAnsi="Times New Roman"/>
            <w:color w:val="1155CC"/>
            <w:sz w:val="24"/>
            <w:szCs w:val="24"/>
            <w:u w:val="single"/>
          </w:rPr>
          <w:t xml:space="preserve">verify</w:t>
        </w:r>
      </w:hyperlink>
    </w:p>
    <w:p>
      <w:pPr>
        <w:spacing w:after="80"/>
      </w:pPr>
      <w:r>
        <w:rPr>
          <w:rFonts w:ascii="Times New Roman" w:cs="Times New Roman" w:eastAsia="Times New Roman" w:hAnsi="Times New Roman"/>
          <w:color w:val="000000"/>
          <w:sz w:val="24"/>
          <w:szCs w:val="24"/>
        </w:rPr>
        <w:t xml:space="preserve">Public Schools: National Center for Education Statistics, Common Core of Data (CCD) School Characteristics 2024-2025, via the NCES EDGE program — public, open, non-charter schools; district and grade span as published — </w:t>
      </w:r>
      <w:hyperlink w:history="1" r:id="rIdtfpzd1opgb5ctifxa_n1h">
        <w:r>
          <w:rPr>
            <w:rFonts w:ascii="Times New Roman" w:cs="Times New Roman" w:eastAsia="Times New Roman" w:hAnsi="Times New Roman"/>
            <w:color w:val="1155CC"/>
            <w:sz w:val="24"/>
            <w:szCs w:val="24"/>
            <w:u w:val="single"/>
          </w:rPr>
          <w:t xml:space="preserve">verify</w:t>
        </w:r>
      </w:hyperlink>
    </w:p>
    <w:p>
      <w:pPr>
        <w:spacing w:after="120"/>
        <w:jc w:val="both"/>
      </w:pPr>
      <w:r>
        <w:rPr>
          <w:rFonts w:ascii="Times New Roman" w:cs="Times New Roman" w:eastAsia="Times New Roman" w:hAnsi="Times New Roman"/>
          <w:color w:val="000000"/>
          <w:sz w:val="24"/>
          <w:szCs w:val="24"/>
        </w:rPr>
        <w:t xml:space="preserve">Locational Amenities: Google Maps Platform (Places API and Static Maps); distances are straight-line miles from the Subject</w:t>
      </w:r>
    </w:p>
    <w:p>
      <w:pPr>
        <w:spacing w:after="80"/>
      </w:pPr>
      <w:r>
        <w:rPr>
          <w:rFonts w:ascii="Times New Roman" w:cs="Times New Roman" w:eastAsia="Times New Roman" w:hAnsi="Times New Roman"/>
          <w:color w:val="000000"/>
          <w:sz w:val="24"/>
          <w:szCs w:val="24"/>
        </w:rPr>
        <w:t xml:space="preserve">Crime Data: FBI Crime Data Explorer (Uniform Crime Reporting Program), Chattanooga Police Department, calendar year 2025; rates per 100,000 (state and national on participating population) — </w:t>
      </w:r>
      <w:hyperlink w:history="1" r:id="rId3ta8retiq7sljvr7accmm">
        <w:r>
          <w:rPr>
            <w:rFonts w:ascii="Times New Roman" w:cs="Times New Roman" w:eastAsia="Times New Roman" w:hAnsi="Times New Roman"/>
            <w:color w:val="1155CC"/>
            <w:sz w:val="24"/>
            <w:szCs w:val="24"/>
            <w:u w:val="single"/>
          </w:rPr>
          <w:t xml:space="preserve">verify</w:t>
        </w:r>
      </w:hyperlink>
    </w:p>
    <w:p>
      <w:pPr>
        <w:spacing w:after="120"/>
        <w:jc w:val="both"/>
      </w:pPr>
      <w:r>
        <w:rPr>
          <w:rFonts w:ascii="Times New Roman" w:cs="Times New Roman" w:eastAsia="Times New Roman" w:hAnsi="Times New Roman"/>
          <w:color w:val="000000"/>
          <w:sz w:val="24"/>
          <w:szCs w:val="24"/>
        </w:rPr>
        <w:t xml:space="preserve">Major Employers: Hamilton County, TN Annual Comprehensive Financial Report, Statistical Section — Principal Employers, fiscal year 2025 (https://www.hamiltontn.gov/PDF/CAFR/2025/FY%202025%20ACFR.pdf)</w:t>
      </w:r>
    </w:p>
    <w:p>
      <w:pPr>
        <w:spacing w:after="80"/>
      </w:pPr>
      <w:r>
        <w:rPr>
          <w:rFonts w:ascii="Times New Roman" w:cs="Times New Roman" w:eastAsia="Times New Roman" w:hAnsi="Times New Roman"/>
          <w:color w:val="000000"/>
          <w:sz w:val="24"/>
          <w:szCs w:val="24"/>
        </w:rPr>
        <w:t xml:space="preserve">Employment by Industry and At-Place Employment: U.S. Bureau of Labor Statistics, Quarterly Census of Employment and Wages (QCEW) — </w:t>
      </w:r>
      <w:hyperlink w:history="1" r:id="rIdd0qzue7dnczq_1tmokdxz">
        <w:r>
          <w:rPr>
            <w:rFonts w:ascii="Times New Roman" w:cs="Times New Roman" w:eastAsia="Times New Roman" w:hAnsi="Times New Roman"/>
            <w:color w:val="1155CC"/>
            <w:sz w:val="24"/>
            <w:szCs w:val="24"/>
            <w:u w:val="single"/>
          </w:rPr>
          <w:t xml:space="preserve">verify</w:t>
        </w:r>
      </w:hyperlink>
    </w:p>
    <w:p>
      <w:pPr>
        <w:spacing w:after="80"/>
      </w:pPr>
      <w:r>
        <w:rPr>
          <w:rFonts w:ascii="Times New Roman" w:cs="Times New Roman" w:eastAsia="Times New Roman" w:hAnsi="Times New Roman"/>
          <w:color w:val="000000"/>
          <w:sz w:val="24"/>
          <w:szCs w:val="24"/>
        </w:rPr>
        <w:t xml:space="preserve">Employment Projections: Projections Central (Projections Managing Partnership, sponsored by the U.S. Department of Labor), Tennessee long-term occupational projections 2024–2034 — </w:t>
      </w:r>
      <w:hyperlink w:history="1" r:id="rIdmxyc52r1trfemfip2prht">
        <w:r>
          <w:rPr>
            <w:rFonts w:ascii="Times New Roman" w:cs="Times New Roman" w:eastAsia="Times New Roman" w:hAnsi="Times New Roman"/>
            <w:color w:val="1155CC"/>
            <w:sz w:val="24"/>
            <w:szCs w:val="24"/>
            <w:u w:val="single"/>
          </w:rPr>
          <w:t xml:space="preserve">verify</w:t>
        </w:r>
      </w:hyperlink>
    </w:p>
    <w:p>
      <w:pPr>
        <w:spacing w:after="80"/>
      </w:pPr>
      <w:r>
        <w:rPr>
          <w:rFonts w:ascii="Times New Roman" w:cs="Times New Roman" w:eastAsia="Times New Roman" w:hAnsi="Times New Roman"/>
          <w:color w:val="000000"/>
          <w:sz w:val="24"/>
          <w:szCs w:val="24"/>
        </w:rPr>
        <w:t xml:space="preserve">Unemployment and Employment Trends: U.S. Bureau of Labor Statistics, Local Area Unemployment Statistics (LAUS); national rate from the Current Population Survey (not seasonally adjusted) — </w:t>
      </w:r>
      <w:hyperlink w:history="1" r:id="rIdxvrszrjtwoub13lq9nl90">
        <w:r>
          <w:rPr>
            <w:rFonts w:ascii="Times New Roman" w:cs="Times New Roman" w:eastAsia="Times New Roman" w:hAnsi="Times New Roman"/>
            <w:color w:val="1155CC"/>
            <w:sz w:val="24"/>
            <w:szCs w:val="24"/>
            <w:u w:val="single"/>
          </w:rPr>
          <w:t xml:space="preserve">verify</w:t>
        </w:r>
      </w:hyperlink>
    </w:p>
    <w:p>
      <w:pPr>
        <w:spacing w:after="80"/>
      </w:pPr>
      <w:r>
        <w:rPr>
          <w:rFonts w:ascii="Times New Roman" w:cs="Times New Roman" w:eastAsia="Times New Roman" w:hAnsi="Times New Roman"/>
          <w:color w:val="000000"/>
          <w:sz w:val="24"/>
          <w:szCs w:val="24"/>
        </w:rPr>
        <w:t xml:space="preserve">Commuting Patterns: U.S. Census Bureau, American Community Survey 5-Year Estimates (2024), Tables B08007, B08301, B08303, B08013 — </w:t>
      </w:r>
      <w:hyperlink w:history="1" r:id="rIdorqrttn1oey4hltk-rogi">
        <w:r>
          <w:rPr>
            <w:rFonts w:ascii="Times New Roman" w:cs="Times New Roman" w:eastAsia="Times New Roman" w:hAnsi="Times New Roman"/>
            <w:color w:val="1155CC"/>
            <w:sz w:val="24"/>
            <w:szCs w:val="24"/>
            <w:u w:val="single"/>
          </w:rPr>
          <w:t xml:space="preserve">verify</w:t>
        </w:r>
      </w:hyperlink>
    </w:p>
    <w:p>
      <w:pPr>
        <w:spacing w:after="80"/>
      </w:pPr>
      <w:r>
        <w:rPr>
          <w:rFonts w:ascii="Times New Roman" w:cs="Times New Roman" w:eastAsia="Times New Roman" w:hAnsi="Times New Roman"/>
          <w:color w:val="000000"/>
          <w:sz w:val="24"/>
          <w:szCs w:val="24"/>
        </w:rPr>
        <w:t xml:space="preserve">Wages: U.S. Bureau of Labor Statistics, Occupational Employment and Wage Statistics (OEWS) — </w:t>
      </w:r>
      <w:hyperlink w:history="1" r:id="rId5s3ylg4rkav6azkbpyiox">
        <w:r>
          <w:rPr>
            <w:rFonts w:ascii="Times New Roman" w:cs="Times New Roman" w:eastAsia="Times New Roman" w:hAnsi="Times New Roman"/>
            <w:color w:val="1155CC"/>
            <w:sz w:val="24"/>
            <w:szCs w:val="24"/>
            <w:u w:val="single"/>
          </w:rPr>
          <w:t xml:space="preserve">verify</w:t>
        </w:r>
      </w:hyperlink>
    </w:p>
    <w:p>
      <w:pPr>
        <w:spacing w:after="80"/>
      </w:pPr>
      <w:r>
        <w:rPr>
          <w:rFonts w:ascii="Times New Roman" w:cs="Times New Roman" w:eastAsia="Times New Roman" w:hAnsi="Times New Roman"/>
          <w:color w:val="000000"/>
          <w:sz w:val="24"/>
          <w:szCs w:val="24"/>
        </w:rPr>
        <w:t xml:space="preserve">Building Permits: U.S. Census Bureau, Building Permits Survey (place-level annual and year-to-date) — </w:t>
      </w:r>
      <w:hyperlink w:history="1" r:id="rIdxa5ochympf04ccalrmxwf">
        <w:r>
          <w:rPr>
            <w:rFonts w:ascii="Times New Roman" w:cs="Times New Roman" w:eastAsia="Times New Roman" w:hAnsi="Times New Roman"/>
            <w:color w:val="1155CC"/>
            <w:sz w:val="24"/>
            <w:szCs w:val="24"/>
            <w:u w:val="single"/>
          </w:rPr>
          <w:t xml:space="preserve">verify</w:t>
        </w:r>
      </w:hyperlink>
    </w:p>
    <w:p>
      <w:r>
        <w:br w:type="page"/>
      </w:r>
    </w:p>
    <w:p>
      <w:pPr>
        <w:pStyle w:val="Heading1"/>
        <w:spacing w:after="0" w:before="0"/>
      </w:pPr>
      <w:r>
        <w:rPr>
          <w:rFonts w:ascii="Times New Roman" w:cs="Times New Roman" w:eastAsia="Times New Roman" w:hAnsi="Times New Roman"/>
          <w:b/>
          <w:bCs/>
          <w:i w:val="false"/>
          <w:iCs w:val="false"/>
          <w:color w:val="000000"/>
          <w:sz w:val="24"/>
          <w:szCs w:val="24"/>
        </w:rPr>
        <w:t xml:space="preserve">Data Verification Appendix</w:t>
      </w:r>
    </w:p>
    <w:p>
      <w:pPr>
        <w:spacing w:after="120"/>
        <w:jc w:val="both"/>
      </w:pPr>
      <w:r>
        <w:rPr>
          <w:rFonts w:ascii="Times New Roman" w:cs="Times New Roman" w:eastAsia="Times New Roman" w:hAnsi="Times New Roman"/>
          <w:color w:val="000000"/>
          <w:sz w:val="24"/>
          <w:szCs w:val="24"/>
        </w:rPr>
        <w:t xml:space="preserve">Each dataset in this report is listed with the exact identifiers it was retrieved by and a link to the publisher's query, so a reviewer can reproduce every figure without relying on this document. Retrieval dates are stamped when the data was pulled.</w:t>
      </w:r>
    </w:p>
    <w:p>
      <w:pPr>
        <w:spacing w:before="120"/>
      </w:pPr>
    </w:p>
    <w:tbl>
      <w:tblPr>
        <w:tblW w:type="dxa" w:w="9300"/>
        <w:jc w:val="center"/>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3300"/>
        <w:gridCol w:w="1700"/>
        <w:gridCol w:w="1300"/>
      </w:tblGrid>
      <w:tr>
        <w:trPr>
          <w:tblHeader/>
        </w:trPr>
        <w:tc>
          <w:tcPr>
            <w:tcW w:type="dxa" w:w="3000"/>
            <w:tcBorders>
              <w:top w:val="single" w:color="1A305B" w:sz="1"/>
              <w:left w:val="single" w:color="1A305B" w:sz="1"/>
              <w:bottom w:val="single" w:color="1A305B" w:sz="1"/>
              <w:right w:val="single" w:color="1A305B" w:sz="1"/>
            </w:tcBorders>
            <w:shd w:fill="FFFFFF" w:color="auto" w:val="clear"/>
            <w:tcMar>
              <w:top w:type="dxa" w:w="61"/>
              <w:left w:type="dxa" w:w="100"/>
              <w:bottom w:type="dxa" w:w="61"/>
              <w:right w:type="dxa" w:w="100"/>
            </w:tcMar>
          </w:tcPr>
          <w:p>
            <w:pPr>
              <w:jc w:val="center"/>
            </w:pPr>
            <w:r>
              <w:rPr>
                <w:rFonts w:ascii="Times New Roman" w:cs="Times New Roman" w:eastAsia="Times New Roman" w:hAnsi="Times New Roman"/>
                <w:b/>
                <w:bCs/>
                <w:color w:val="000000"/>
                <w:sz w:val="20"/>
                <w:szCs w:val="20"/>
              </w:rPr>
              <w:t xml:space="preserve">Dataset</w:t>
            </w:r>
          </w:p>
        </w:tc>
        <w:tc>
          <w:tcPr>
            <w:tcW w:type="dxa" w:w="3300"/>
            <w:tcBorders>
              <w:top w:val="single" w:color="1A305B" w:sz="1"/>
              <w:left w:val="single" w:color="1A305B" w:sz="1"/>
              <w:bottom w:val="single" w:color="1A305B" w:sz="1"/>
              <w:right w:val="single" w:color="1A305B" w:sz="1"/>
            </w:tcBorders>
            <w:shd w:fill="FFFFFF" w:color="auto" w:val="clear"/>
            <w:tcMar>
              <w:top w:type="dxa" w:w="61"/>
              <w:left w:type="dxa" w:w="100"/>
              <w:bottom w:type="dxa" w:w="61"/>
              <w:right w:type="dxa" w:w="100"/>
            </w:tcMar>
          </w:tcPr>
          <w:p>
            <w:pPr>
              <w:jc w:val="center"/>
            </w:pPr>
            <w:r>
              <w:rPr>
                <w:rFonts w:ascii="Times New Roman" w:cs="Times New Roman" w:eastAsia="Times New Roman" w:hAnsi="Times New Roman"/>
                <w:b/>
                <w:bCs/>
                <w:color w:val="000000"/>
                <w:sz w:val="20"/>
                <w:szCs w:val="20"/>
              </w:rPr>
              <w:t xml:space="preserve">Identifiers used</w:t>
            </w:r>
          </w:p>
        </w:tc>
        <w:tc>
          <w:tcPr>
            <w:tcW w:type="dxa" w:w="1700"/>
            <w:tcBorders>
              <w:top w:val="single" w:color="1A305B" w:sz="1"/>
              <w:left w:val="single" w:color="1A305B" w:sz="1"/>
              <w:bottom w:val="single" w:color="1A305B" w:sz="1"/>
              <w:right w:val="single" w:color="1A305B" w:sz="1"/>
            </w:tcBorders>
            <w:shd w:fill="FFFFFF" w:color="auto" w:val="clear"/>
            <w:tcMar>
              <w:top w:type="dxa" w:w="61"/>
              <w:left w:type="dxa" w:w="100"/>
              <w:bottom w:type="dxa" w:w="61"/>
              <w:right w:type="dxa" w:w="100"/>
            </w:tcMar>
          </w:tcPr>
          <w:p>
            <w:pPr>
              <w:jc w:val="center"/>
            </w:pPr>
            <w:r>
              <w:rPr>
                <w:rFonts w:ascii="Times New Roman" w:cs="Times New Roman" w:eastAsia="Times New Roman" w:hAnsi="Times New Roman"/>
                <w:b/>
                <w:bCs/>
                <w:color w:val="000000"/>
                <w:sz w:val="20"/>
                <w:szCs w:val="20"/>
              </w:rPr>
              <w:t xml:space="preserve">Direct link</w:t>
            </w:r>
          </w:p>
        </w:tc>
        <w:tc>
          <w:tcPr>
            <w:tcW w:type="dxa" w:w="1300"/>
            <w:tcBorders>
              <w:top w:val="single" w:color="1A305B" w:sz="1"/>
              <w:left w:val="single" w:color="1A305B" w:sz="1"/>
              <w:bottom w:val="single" w:color="1A305B" w:sz="1"/>
              <w:right w:val="single" w:color="1A305B" w:sz="1"/>
            </w:tcBorders>
            <w:shd w:fill="FFFFFF" w:color="auto" w:val="clear"/>
            <w:tcMar>
              <w:top w:type="dxa" w:w="61"/>
              <w:left w:type="dxa" w:w="100"/>
              <w:bottom w:type="dxa" w:w="61"/>
              <w:right w:type="dxa" w:w="100"/>
            </w:tcMar>
          </w:tcPr>
          <w:p>
            <w:pPr>
              <w:jc w:val="center"/>
            </w:pPr>
            <w:r>
              <w:rPr>
                <w:rFonts w:ascii="Times New Roman" w:cs="Times New Roman" w:eastAsia="Times New Roman" w:hAnsi="Times New Roman"/>
                <w:b/>
                <w:bCs/>
                <w:color w:val="000000"/>
                <w:sz w:val="20"/>
                <w:szCs w:val="20"/>
              </w:rPr>
              <w:t xml:space="preserve">Retrieved</w:t>
            </w:r>
          </w:p>
        </w:tc>
      </w:tr>
      <w:tr>
        <w:tc>
          <w:tcPr>
            <w:tcW w:type="dxa" w:w="3000"/>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left"/>
            </w:pPr>
            <w:r>
              <w:rPr>
                <w:rFonts w:ascii="Times New Roman" w:cs="Times New Roman" w:eastAsia="Times New Roman" w:hAnsi="Times New Roman"/>
                <w:color w:val="000000"/>
                <w:sz w:val="18"/>
                <w:szCs w:val="18"/>
              </w:rPr>
              <w:t xml:space="preserve">Flood zone — FEMA National Flood Hazard Layer, Flood Hazard Zones (layer 28)</w:t>
            </w:r>
          </w:p>
        </w:tc>
        <w:tc>
          <w:tcPr>
            <w:tcW w:type="dxa" w:w="3300"/>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left"/>
            </w:pPr>
            <w:r>
              <w:rPr>
                <w:rFonts w:ascii="Times New Roman" w:cs="Times New Roman" w:eastAsia="Times New Roman" w:hAnsi="Times New Roman"/>
                <w:color w:val="000000"/>
                <w:sz w:val="18"/>
                <w:szCs w:val="18"/>
              </w:rPr>
              <w:t xml:space="preserve">Point 35.04478, -85.30933 (WGS84)</w:t>
            </w:r>
          </w:p>
        </w:tc>
        <w:tc>
          <w:tcPr>
            <w:tcW w:type="dxa" w:w="1700"/>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left"/>
            </w:pPr>
            <w:hyperlink w:history="1" r:id="rIdw98m3tqgra8bwpug-5r-l">
              <w:r>
                <w:rPr>
                  <w:rFonts w:ascii="Times New Roman" w:cs="Times New Roman" w:eastAsia="Times New Roman" w:hAnsi="Times New Roman"/>
                  <w:color w:val="1155CC"/>
                  <w:sz w:val="18"/>
                  <w:szCs w:val="18"/>
                  <w:u w:val="single"/>
                </w:rPr>
                <w:t xml:space="preserve">Open source query</w:t>
              </w:r>
            </w:hyperlink>
          </w:p>
        </w:tc>
        <w:tc>
          <w:tcPr>
            <w:tcW w:type="dxa" w:w="1300"/>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left"/>
            </w:pPr>
            <w:r>
              <w:rPr>
                <w:rFonts w:ascii="Times New Roman" w:cs="Times New Roman" w:eastAsia="Times New Roman" w:hAnsi="Times New Roman"/>
                <w:color w:val="000000"/>
                <w:sz w:val="18"/>
                <w:szCs w:val="18"/>
              </w:rPr>
              <w:t xml:space="preserve">October 3, 2026</w:t>
            </w:r>
          </w:p>
        </w:tc>
      </w:tr>
      <w:tr>
        <w:tc>
          <w:tcPr>
            <w:tcW w:type="dxa" w:w="3000"/>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left"/>
            </w:pPr>
            <w:r>
              <w:rPr>
                <w:rFonts w:ascii="Times New Roman" w:cs="Times New Roman" w:eastAsia="Times New Roman" w:hAnsi="Times New Roman"/>
                <w:color w:val="000000"/>
                <w:sz w:val="18"/>
                <w:szCs w:val="18"/>
              </w:rPr>
              <w:t xml:space="preserve">Public schools — NCES Common Core of Data, School Characteristics (via NCES EDGE)</w:t>
            </w:r>
          </w:p>
        </w:tc>
        <w:tc>
          <w:tcPr>
            <w:tcW w:type="dxa" w:w="3300"/>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left"/>
            </w:pPr>
            <w:r>
              <w:rPr>
                <w:rFonts w:ascii="Times New Roman" w:cs="Times New Roman" w:eastAsia="Times New Roman" w:hAnsi="Times New Roman"/>
                <w:color w:val="000000"/>
                <w:sz w:val="18"/>
                <w:szCs w:val="18"/>
              </w:rPr>
              <w:t xml:space="preserve">Tommie F. Brown Academy (Hamilton County; grades PK–5): NCESSCH 470159001791; Chattanooga School for the Arts and Sciences Upper (Hamilton County; grades 6–12): NCESSCH 470159000669; The Howard School (Hamilton County; grades 9–12): NCESSCH 470159000759</w:t>
            </w:r>
          </w:p>
        </w:tc>
        <w:tc>
          <w:tcPr>
            <w:tcW w:type="dxa" w:w="1700"/>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left"/>
            </w:pPr>
            <w:hyperlink w:history="1" r:id="rIdc4yjoa5tpcsyyuvxhojh1">
              <w:r>
                <w:rPr>
                  <w:rFonts w:ascii="Times New Roman" w:cs="Times New Roman" w:eastAsia="Times New Roman" w:hAnsi="Times New Roman"/>
                  <w:color w:val="1155CC"/>
                  <w:sz w:val="18"/>
                  <w:szCs w:val="18"/>
                  <w:u w:val="single"/>
                </w:rPr>
                <w:t xml:space="preserve">NCES school detail (470159001791)</w:t>
              </w:r>
            </w:hyperlink>
          </w:p>
        </w:tc>
        <w:tc>
          <w:tcPr>
            <w:tcW w:type="dxa" w:w="1300"/>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left"/>
            </w:pPr>
            <w:r>
              <w:rPr>
                <w:rFonts w:ascii="Times New Roman" w:cs="Times New Roman" w:eastAsia="Times New Roman" w:hAnsi="Times New Roman"/>
                <w:color w:val="000000"/>
                <w:sz w:val="18"/>
                <w:szCs w:val="18"/>
              </w:rPr>
              <w:t xml:space="preserve">October 3, 2026</w:t>
            </w:r>
          </w:p>
        </w:tc>
      </w:tr>
      <w:tr>
        <w:tc>
          <w:tcPr>
            <w:tcW w:type="dxa" w:w="3000"/>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left"/>
            </w:pPr>
            <w:r>
              <w:rPr>
                <w:rFonts w:ascii="Times New Roman" w:cs="Times New Roman" w:eastAsia="Times New Roman" w:hAnsi="Times New Roman"/>
                <w:color w:val="000000"/>
                <w:sz w:val="18"/>
                <w:szCs w:val="18"/>
              </w:rPr>
              <w:t xml:space="preserve">Locational amenities and drive times — Google Maps Platform (Places API, Static Maps, Routes API)</w:t>
            </w:r>
          </w:p>
        </w:tc>
        <w:tc>
          <w:tcPr>
            <w:tcW w:type="dxa" w:w="3300"/>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left"/>
            </w:pPr>
            <w:r>
              <w:rPr>
                <w:rFonts w:ascii="Times New Roman" w:cs="Times New Roman" w:eastAsia="Times New Roman" w:hAnsi="Times New Roman"/>
                <w:color w:val="000000"/>
                <w:sz w:val="18"/>
                <w:szCs w:val="18"/>
              </w:rPr>
              <w:t xml:space="preserve">Live listings at time of retrieval; Google does not publish a stable public query URL</w:t>
            </w:r>
          </w:p>
        </w:tc>
        <w:tc>
          <w:tcPr>
            <w:tcW w:type="dxa" w:w="1700"/>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left"/>
            </w:pPr>
            <w:r>
              <w:rPr>
                <w:rFonts w:ascii="Times New Roman" w:cs="Times New Roman" w:eastAsia="Times New Roman" w:hAnsi="Times New Roman"/>
                <w:color w:val="000000"/>
                <w:sz w:val="18"/>
                <w:szCs w:val="18"/>
              </w:rPr>
              <w:t xml:space="preserve">No independent link — see retrieval date</w:t>
            </w:r>
          </w:p>
        </w:tc>
        <w:tc>
          <w:tcPr>
            <w:tcW w:type="dxa" w:w="1300"/>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left"/>
            </w:pPr>
            <w:r>
              <w:rPr>
                <w:rFonts w:ascii="Times New Roman" w:cs="Times New Roman" w:eastAsia="Times New Roman" w:hAnsi="Times New Roman"/>
                <w:color w:val="000000"/>
                <w:sz w:val="18"/>
                <w:szCs w:val="18"/>
              </w:rPr>
              <w:t xml:space="preserve">October 3, 2026</w:t>
            </w:r>
          </w:p>
        </w:tc>
      </w:tr>
      <w:tr>
        <w:tc>
          <w:tcPr>
            <w:tcW w:type="dxa" w:w="3000"/>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left"/>
            </w:pPr>
            <w:r>
              <w:rPr>
                <w:rFonts w:ascii="Times New Roman" w:cs="Times New Roman" w:eastAsia="Times New Roman" w:hAnsi="Times New Roman"/>
                <w:color w:val="000000"/>
                <w:sz w:val="18"/>
                <w:szCs w:val="18"/>
              </w:rPr>
              <w:t xml:space="preserve">Crime — FBI Crime Data Explorer, summarized agency counts (Chattanooga Police Department)</w:t>
            </w:r>
          </w:p>
        </w:tc>
        <w:tc>
          <w:tcPr>
            <w:tcW w:type="dxa" w:w="3300"/>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left"/>
            </w:pPr>
            <w:r>
              <w:rPr>
                <w:rFonts w:ascii="Times New Roman" w:cs="Times New Roman" w:eastAsia="Times New Roman" w:hAnsi="Times New Roman"/>
                <w:color w:val="000000"/>
                <w:sz w:val="18"/>
                <w:szCs w:val="18"/>
              </w:rPr>
              <w:t xml:space="preserve">ORI TN0330100; offenses HOM, RPE, ROB, ASS, V, BUR, LAR, MVT, P; calendar year 2025</w:t>
            </w:r>
          </w:p>
        </w:tc>
        <w:tc>
          <w:tcPr>
            <w:tcW w:type="dxa" w:w="1700"/>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left"/>
            </w:pPr>
            <w:hyperlink w:history="1" r:id="rIdsy7gebzoyf1_y3ylh2v6c">
              <w:r>
                <w:rPr>
                  <w:rFonts w:ascii="Times New Roman" w:cs="Times New Roman" w:eastAsia="Times New Roman" w:hAnsi="Times New Roman"/>
                  <w:color w:val="1155CC"/>
                  <w:sz w:val="18"/>
                  <w:szCs w:val="18"/>
                  <w:u w:val="single"/>
                </w:rPr>
                <w:t xml:space="preserve">CDE API (requires a free api.data.gov key)</w:t>
              </w:r>
            </w:hyperlink>
          </w:p>
        </w:tc>
        <w:tc>
          <w:tcPr>
            <w:tcW w:type="dxa" w:w="1300"/>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left"/>
            </w:pPr>
            <w:r>
              <w:rPr>
                <w:rFonts w:ascii="Times New Roman" w:cs="Times New Roman" w:eastAsia="Times New Roman" w:hAnsi="Times New Roman"/>
                <w:color w:val="000000"/>
                <w:sz w:val="18"/>
                <w:szCs w:val="18"/>
              </w:rPr>
              <w:t xml:space="preserve">October 3, 2026</w:t>
            </w:r>
          </w:p>
        </w:tc>
      </w:tr>
      <w:tr>
        <w:tc>
          <w:tcPr>
            <w:tcW w:type="dxa" w:w="3000"/>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left"/>
            </w:pPr>
            <w:r>
              <w:rPr>
                <w:rFonts w:ascii="Times New Roman" w:cs="Times New Roman" w:eastAsia="Times New Roman" w:hAnsi="Times New Roman"/>
                <w:color w:val="000000"/>
                <w:sz w:val="18"/>
                <w:szCs w:val="18"/>
              </w:rPr>
              <w:t xml:space="preserve">At-place employment by industry — BLS QCEW annual averages (county)</w:t>
            </w:r>
          </w:p>
        </w:tc>
        <w:tc>
          <w:tcPr>
            <w:tcW w:type="dxa" w:w="3300"/>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left"/>
            </w:pPr>
            <w:r>
              <w:rPr>
                <w:rFonts w:ascii="Times New Roman" w:cs="Times New Roman" w:eastAsia="Times New Roman" w:hAnsi="Times New Roman"/>
                <w:color w:val="000000"/>
                <w:sz w:val="18"/>
                <w:szCs w:val="18"/>
              </w:rPr>
              <w:t xml:space="preserve">Area FIPS 47065; year 2025 vs 2020</w:t>
            </w:r>
          </w:p>
        </w:tc>
        <w:tc>
          <w:tcPr>
            <w:tcW w:type="dxa" w:w="1700"/>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left"/>
            </w:pPr>
            <w:hyperlink w:history="1" r:id="rIdxcbfw2lt-wgfg1xigi-47">
              <w:r>
                <w:rPr>
                  <w:rFonts w:ascii="Times New Roman" w:cs="Times New Roman" w:eastAsia="Times New Roman" w:hAnsi="Times New Roman"/>
                  <w:color w:val="1155CC"/>
                  <w:sz w:val="18"/>
                  <w:szCs w:val="18"/>
                  <w:u w:val="single"/>
                </w:rPr>
                <w:t xml:space="preserve">QCEW CSV</w:t>
              </w:r>
            </w:hyperlink>
          </w:p>
        </w:tc>
        <w:tc>
          <w:tcPr>
            <w:tcW w:type="dxa" w:w="1300"/>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left"/>
            </w:pPr>
            <w:r>
              <w:rPr>
                <w:rFonts w:ascii="Times New Roman" w:cs="Times New Roman" w:eastAsia="Times New Roman" w:hAnsi="Times New Roman"/>
                <w:color w:val="000000"/>
                <w:sz w:val="18"/>
                <w:szCs w:val="18"/>
              </w:rPr>
              <w:t xml:space="preserve">October 3, 2026</w:t>
            </w:r>
          </w:p>
        </w:tc>
      </w:tr>
      <w:tr>
        <w:tc>
          <w:tcPr>
            <w:tcW w:type="dxa" w:w="3000"/>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left"/>
            </w:pPr>
            <w:r>
              <w:rPr>
                <w:rFonts w:ascii="Times New Roman" w:cs="Times New Roman" w:eastAsia="Times New Roman" w:hAnsi="Times New Roman"/>
                <w:color w:val="000000"/>
                <w:sz w:val="18"/>
                <w:szCs w:val="18"/>
              </w:rPr>
              <w:t xml:space="preserve">At-place employment and establishments — BLS QCEW timeseries</w:t>
            </w:r>
          </w:p>
        </w:tc>
        <w:tc>
          <w:tcPr>
            <w:tcW w:type="dxa" w:w="3300"/>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left"/>
            </w:pPr>
            <w:r>
              <w:rPr>
                <w:rFonts w:ascii="Times New Roman" w:cs="Times New Roman" w:eastAsia="Times New Roman" w:hAnsi="Times New Roman"/>
                <w:color w:val="000000"/>
                <w:sz w:val="18"/>
                <w:szCs w:val="18"/>
              </w:rPr>
              <w:t xml:space="preserve">Series ENU4706510010, ENU4706520010</w:t>
            </w:r>
          </w:p>
        </w:tc>
        <w:tc>
          <w:tcPr>
            <w:tcW w:type="dxa" w:w="1700"/>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left"/>
            </w:pPr>
            <w:hyperlink w:history="1" r:id="rIdoahaaief85xlluqcbaw_1">
              <w:r>
                <w:rPr>
                  <w:rFonts w:ascii="Times New Roman" w:cs="Times New Roman" w:eastAsia="Times New Roman" w:hAnsi="Times New Roman"/>
                  <w:color w:val="1155CC"/>
                  <w:sz w:val="18"/>
                  <w:szCs w:val="18"/>
                  <w:u w:val="single"/>
                </w:rPr>
                <w:t xml:space="preserve">BLS series</w:t>
              </w:r>
            </w:hyperlink>
          </w:p>
        </w:tc>
        <w:tc>
          <w:tcPr>
            <w:tcW w:type="dxa" w:w="1300"/>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left"/>
            </w:pPr>
            <w:r>
              <w:rPr>
                <w:rFonts w:ascii="Times New Roman" w:cs="Times New Roman" w:eastAsia="Times New Roman" w:hAnsi="Times New Roman"/>
                <w:color w:val="000000"/>
                <w:sz w:val="18"/>
                <w:szCs w:val="18"/>
              </w:rPr>
              <w:t xml:space="preserve">October 3, 2026</w:t>
            </w:r>
          </w:p>
        </w:tc>
      </w:tr>
      <w:tr>
        <w:tc>
          <w:tcPr>
            <w:tcW w:type="dxa" w:w="3000"/>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left"/>
            </w:pPr>
            <w:r>
              <w:rPr>
                <w:rFonts w:ascii="Times New Roman" w:cs="Times New Roman" w:eastAsia="Times New Roman" w:hAnsi="Times New Roman"/>
                <w:color w:val="000000"/>
                <w:sz w:val="18"/>
                <w:szCs w:val="18"/>
              </w:rPr>
              <w:t xml:space="preserve">Long-term occupational projections — Projections Central (state LMI, U.S. DOL)</w:t>
            </w:r>
          </w:p>
        </w:tc>
        <w:tc>
          <w:tcPr>
            <w:tcW w:type="dxa" w:w="3300"/>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left"/>
            </w:pPr>
            <w:r>
              <w:rPr>
                <w:rFonts w:ascii="Times New Roman" w:cs="Times New Roman" w:eastAsia="Times New Roman" w:hAnsi="Times New Roman"/>
                <w:color w:val="000000"/>
                <w:sz w:val="18"/>
                <w:szCs w:val="18"/>
              </w:rPr>
              <w:t xml:space="preserve">State FIPS 47; 2024–2034</w:t>
            </w:r>
          </w:p>
        </w:tc>
        <w:tc>
          <w:tcPr>
            <w:tcW w:type="dxa" w:w="1700"/>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left"/>
            </w:pPr>
            <w:hyperlink w:history="1" r:id="rIdddtvxcwzkfc5tc-qr1ixm">
              <w:r>
                <w:rPr>
                  <w:rFonts w:ascii="Times New Roman" w:cs="Times New Roman" w:eastAsia="Times New Roman" w:hAnsi="Times New Roman"/>
                  <w:color w:val="1155CC"/>
                  <w:sz w:val="18"/>
                  <w:szCs w:val="18"/>
                  <w:u w:val="single"/>
                </w:rPr>
                <w:t xml:space="preserve">Projections Central JSON</w:t>
              </w:r>
            </w:hyperlink>
          </w:p>
        </w:tc>
        <w:tc>
          <w:tcPr>
            <w:tcW w:type="dxa" w:w="1300"/>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left"/>
            </w:pPr>
            <w:r>
              <w:rPr>
                <w:rFonts w:ascii="Times New Roman" w:cs="Times New Roman" w:eastAsia="Times New Roman" w:hAnsi="Times New Roman"/>
                <w:color w:val="000000"/>
                <w:sz w:val="18"/>
                <w:szCs w:val="18"/>
              </w:rPr>
              <w:t xml:space="preserve">October 3, 2026</w:t>
            </w:r>
          </w:p>
        </w:tc>
      </w:tr>
      <w:tr>
        <w:tc>
          <w:tcPr>
            <w:tcW w:type="dxa" w:w="3000"/>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left"/>
            </w:pPr>
            <w:r>
              <w:rPr>
                <w:rFonts w:ascii="Times New Roman" w:cs="Times New Roman" w:eastAsia="Times New Roman" w:hAnsi="Times New Roman"/>
                <w:color w:val="000000"/>
                <w:sz w:val="18"/>
                <w:szCs w:val="18"/>
              </w:rPr>
              <w:t xml:space="preserve">Major employers — Hamilton County, TN Annual Comprehensive Financial Report, Statistical Section — Principal Employers, fiscal year 2025</w:t>
            </w:r>
          </w:p>
        </w:tc>
        <w:tc>
          <w:tcPr>
            <w:tcW w:type="dxa" w:w="3300"/>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left"/>
            </w:pPr>
            <w:r>
              <w:rPr>
                <w:rFonts w:ascii="Times New Roman" w:cs="Times New Roman" w:eastAsia="Times New Roman" w:hAnsi="Times New Roman"/>
                <w:color w:val="000000"/>
                <w:sz w:val="18"/>
                <w:szCs w:val="18"/>
              </w:rPr>
              <w:t xml:space="preserve">10 employers as listed in the source</w:t>
            </w:r>
          </w:p>
        </w:tc>
        <w:tc>
          <w:tcPr>
            <w:tcW w:type="dxa" w:w="1700"/>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left"/>
            </w:pPr>
            <w:hyperlink w:history="1" r:id="rId0wgmd2vd2jllhcu55tf9u">
              <w:r>
                <w:rPr>
                  <w:rFonts w:ascii="Times New Roman" w:cs="Times New Roman" w:eastAsia="Times New Roman" w:hAnsi="Times New Roman"/>
                  <w:color w:val="1155CC"/>
                  <w:sz w:val="18"/>
                  <w:szCs w:val="18"/>
                  <w:u w:val="single"/>
                </w:rPr>
                <w:t xml:space="preserve">Source document</w:t>
              </w:r>
            </w:hyperlink>
          </w:p>
        </w:tc>
        <w:tc>
          <w:tcPr>
            <w:tcW w:type="dxa" w:w="1300"/>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left"/>
            </w:pPr>
            <w:r>
              <w:rPr>
                <w:rFonts w:ascii="Times New Roman" w:cs="Times New Roman" w:eastAsia="Times New Roman" w:hAnsi="Times New Roman"/>
                <w:color w:val="000000"/>
                <w:sz w:val="18"/>
                <w:szCs w:val="18"/>
              </w:rPr>
              <w:t xml:space="preserve">October 3, 2026</w:t>
            </w:r>
          </w:p>
        </w:tc>
      </w:tr>
      <w:tr>
        <w:tc>
          <w:tcPr>
            <w:tcW w:type="dxa" w:w="3000"/>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left"/>
            </w:pPr>
            <w:r>
              <w:rPr>
                <w:rFonts w:ascii="Times New Roman" w:cs="Times New Roman" w:eastAsia="Times New Roman" w:hAnsi="Times New Roman"/>
                <w:color w:val="000000"/>
                <w:sz w:val="18"/>
                <w:szCs w:val="18"/>
              </w:rPr>
              <w:t xml:space="preserve">WARN notices — state rapid-response listing</w:t>
            </w:r>
          </w:p>
        </w:tc>
        <w:tc>
          <w:tcPr>
            <w:tcW w:type="dxa" w:w="3300"/>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left"/>
            </w:pPr>
            <w:r>
              <w:rPr>
                <w:rFonts w:ascii="Times New Roman" w:cs="Times New Roman" w:eastAsia="Times New Roman" w:hAnsi="Times New Roman"/>
                <w:color w:val="000000"/>
                <w:sz w:val="18"/>
                <w:szCs w:val="18"/>
              </w:rPr>
              <w:t xml:space="preserve">Pilgrim's Pride Corporation; Shimmick Construction Company, Inc.; Yanfeng International Automotive Technology US I LLC; T-Mobile USA, Inc.; All Heart Pediatric Cardiology</w:t>
            </w:r>
          </w:p>
        </w:tc>
        <w:tc>
          <w:tcPr>
            <w:tcW w:type="dxa" w:w="1700"/>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left"/>
            </w:pPr>
            <w:hyperlink w:history="1" r:id="rIdvjpy8qdxh1xaydd7hkqeh">
              <w:r>
                <w:rPr>
                  <w:rFonts w:ascii="Times New Roman" w:cs="Times New Roman" w:eastAsia="Times New Roman" w:hAnsi="Times New Roman"/>
                  <w:color w:val="1155CC"/>
                  <w:sz w:val="18"/>
                  <w:szCs w:val="18"/>
                  <w:u w:val="single"/>
                </w:rPr>
                <w:t xml:space="preserve">State WARN listing</w:t>
              </w:r>
            </w:hyperlink>
          </w:p>
        </w:tc>
        <w:tc>
          <w:tcPr>
            <w:tcW w:type="dxa" w:w="1300"/>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left"/>
            </w:pPr>
            <w:r>
              <w:rPr>
                <w:rFonts w:ascii="Times New Roman" w:cs="Times New Roman" w:eastAsia="Times New Roman" w:hAnsi="Times New Roman"/>
                <w:color w:val="000000"/>
                <w:sz w:val="18"/>
                <w:szCs w:val="18"/>
              </w:rPr>
              <w:t xml:space="preserve">—</w:t>
            </w:r>
          </w:p>
        </w:tc>
      </w:tr>
      <w:tr>
        <w:tc>
          <w:tcPr>
            <w:tcW w:type="dxa" w:w="3000"/>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left"/>
            </w:pPr>
            <w:r>
              <w:rPr>
                <w:rFonts w:ascii="Times New Roman" w:cs="Times New Roman" w:eastAsia="Times New Roman" w:hAnsi="Times New Roman"/>
                <w:color w:val="000000"/>
                <w:sz w:val="18"/>
                <w:szCs w:val="18"/>
              </w:rPr>
              <w:t xml:space="preserve">Unemployment and labor force (annual) — BLS Local Area Unemployment Statistics</w:t>
            </w:r>
          </w:p>
        </w:tc>
        <w:tc>
          <w:tcPr>
            <w:tcW w:type="dxa" w:w="3300"/>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left"/>
            </w:pPr>
            <w:r>
              <w:rPr>
                <w:rFonts w:ascii="Times New Roman" w:cs="Times New Roman" w:eastAsia="Times New Roman" w:hAnsi="Times New Roman"/>
                <w:color w:val="000000"/>
                <w:sz w:val="18"/>
                <w:szCs w:val="18"/>
              </w:rPr>
              <w:t xml:space="preserve">Chattanooga, TN: LAUCT471400000000006, LAUCT471400000000005, LAUCT471400000000003; Hamilton County, TN: LAUCN470650000000006, LAUCN470650000000005, LAUCN470650000000003; Chattanooga, TN-GA MSA: LAUMT471686000000006, LAUMT471686000000005, LAUMT471686000000003; TN: LAUST470000000000006, LAUST470000000000005, LAUST470000000000003</w:t>
            </w:r>
          </w:p>
        </w:tc>
        <w:tc>
          <w:tcPr>
            <w:tcW w:type="dxa" w:w="1700"/>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left"/>
            </w:pPr>
            <w:hyperlink w:history="1" r:id="rIdgmnncvgx7-kdrtx7hicce">
              <w:r>
                <w:rPr>
                  <w:rFonts w:ascii="Times New Roman" w:cs="Times New Roman" w:eastAsia="Times New Roman" w:hAnsi="Times New Roman"/>
                  <w:color w:val="1155CC"/>
                  <w:sz w:val="18"/>
                  <w:szCs w:val="18"/>
                  <w:u w:val="single"/>
                </w:rPr>
                <w:t xml:space="preserve">BLS series LAUCT471400000000006</w:t>
              </w:r>
            </w:hyperlink>
          </w:p>
        </w:tc>
        <w:tc>
          <w:tcPr>
            <w:tcW w:type="dxa" w:w="1300"/>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left"/>
            </w:pPr>
            <w:r>
              <w:rPr>
                <w:rFonts w:ascii="Times New Roman" w:cs="Times New Roman" w:eastAsia="Times New Roman" w:hAnsi="Times New Roman"/>
                <w:color w:val="000000"/>
                <w:sz w:val="18"/>
                <w:szCs w:val="18"/>
              </w:rPr>
              <w:t xml:space="preserve">October 3, 2026</w:t>
            </w:r>
          </w:p>
        </w:tc>
      </w:tr>
      <w:tr>
        <w:tc>
          <w:tcPr>
            <w:tcW w:type="dxa" w:w="3000"/>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left"/>
            </w:pPr>
            <w:r>
              <w:rPr>
                <w:rFonts w:ascii="Times New Roman" w:cs="Times New Roman" w:eastAsia="Times New Roman" w:hAnsi="Times New Roman"/>
                <w:color w:val="000000"/>
                <w:sz w:val="18"/>
                <w:szCs w:val="18"/>
              </w:rPr>
              <w:t xml:space="preserve">Unemployment rate (monthly) — BLS LAUS; national from Current Population Survey (LNU04000000, NSA)</w:t>
            </w:r>
          </w:p>
        </w:tc>
        <w:tc>
          <w:tcPr>
            <w:tcW w:type="dxa" w:w="3300"/>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left"/>
            </w:pPr>
            <w:r>
              <w:rPr>
                <w:rFonts w:ascii="Times New Roman" w:cs="Times New Roman" w:eastAsia="Times New Roman" w:hAnsi="Times New Roman"/>
                <w:color w:val="000000"/>
                <w:sz w:val="18"/>
                <w:szCs w:val="18"/>
              </w:rPr>
              <w:t xml:space="preserve">Chattanooga, TN: LAUCT471400000000003; Hamilton County, TN: LAUCN470650000000003; Chattanooga, TN-GA MSA: LAUMT471686000000003; TN: LAUST470000000000003; National: LNU04000000</w:t>
            </w:r>
          </w:p>
        </w:tc>
        <w:tc>
          <w:tcPr>
            <w:tcW w:type="dxa" w:w="1700"/>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left"/>
            </w:pPr>
            <w:hyperlink w:history="1" r:id="rIdjk2eh8brnppxunvrmdvqw">
              <w:r>
                <w:rPr>
                  <w:rFonts w:ascii="Times New Roman" w:cs="Times New Roman" w:eastAsia="Times New Roman" w:hAnsi="Times New Roman"/>
                  <w:color w:val="1155CC"/>
                  <w:sz w:val="18"/>
                  <w:szCs w:val="18"/>
                  <w:u w:val="single"/>
                </w:rPr>
                <w:t xml:space="preserve">BLS series LAUCT471400000000003</w:t>
              </w:r>
            </w:hyperlink>
          </w:p>
        </w:tc>
        <w:tc>
          <w:tcPr>
            <w:tcW w:type="dxa" w:w="1300"/>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left"/>
            </w:pPr>
            <w:r>
              <w:rPr>
                <w:rFonts w:ascii="Times New Roman" w:cs="Times New Roman" w:eastAsia="Times New Roman" w:hAnsi="Times New Roman"/>
                <w:color w:val="000000"/>
                <w:sz w:val="18"/>
                <w:szCs w:val="18"/>
              </w:rPr>
              <w:t xml:space="preserve">October 3, 2026</w:t>
            </w:r>
          </w:p>
        </w:tc>
      </w:tr>
      <w:tr>
        <w:tc>
          <w:tcPr>
            <w:tcW w:type="dxa" w:w="3000"/>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left"/>
            </w:pPr>
            <w:r>
              <w:rPr>
                <w:rFonts w:ascii="Times New Roman" w:cs="Times New Roman" w:eastAsia="Times New Roman" w:hAnsi="Times New Roman"/>
                <w:color w:val="000000"/>
                <w:sz w:val="18"/>
                <w:szCs w:val="18"/>
              </w:rPr>
              <w:t xml:space="preserve">Commuting patterns — U.S. Census Bureau ACS 5-year (2024)</w:t>
            </w:r>
          </w:p>
        </w:tc>
        <w:tc>
          <w:tcPr>
            <w:tcW w:type="dxa" w:w="3300"/>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left"/>
            </w:pPr>
            <w:r>
              <w:rPr>
                <w:rFonts w:ascii="Times New Roman" w:cs="Times New Roman" w:eastAsia="Times New Roman" w:hAnsi="Times New Roman"/>
                <w:color w:val="000000"/>
                <w:sz w:val="18"/>
                <w:szCs w:val="18"/>
              </w:rPr>
              <w:t xml:space="preserve">County GEOID 47065; tables B08007, B08301, B08303, B08013</w:t>
            </w:r>
          </w:p>
        </w:tc>
        <w:tc>
          <w:tcPr>
            <w:tcW w:type="dxa" w:w="1700"/>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left"/>
            </w:pPr>
            <w:hyperlink w:history="1" r:id="rIdnjrrfd-6p3nviywjzq4h9">
              <w:r>
                <w:rPr>
                  <w:rFonts w:ascii="Times New Roman" w:cs="Times New Roman" w:eastAsia="Times New Roman" w:hAnsi="Times New Roman"/>
                  <w:color w:val="1155CC"/>
                  <w:sz w:val="18"/>
                  <w:szCs w:val="18"/>
                  <w:u w:val="single"/>
                </w:rPr>
                <w:t xml:space="preserve">Census API query</w:t>
              </w:r>
            </w:hyperlink>
          </w:p>
        </w:tc>
        <w:tc>
          <w:tcPr>
            <w:tcW w:type="dxa" w:w="1300"/>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left"/>
            </w:pPr>
            <w:r>
              <w:rPr>
                <w:rFonts w:ascii="Times New Roman" w:cs="Times New Roman" w:eastAsia="Times New Roman" w:hAnsi="Times New Roman"/>
                <w:color w:val="000000"/>
                <w:sz w:val="18"/>
                <w:szCs w:val="18"/>
              </w:rPr>
              <w:t xml:space="preserve">October 3, 2026</w:t>
            </w:r>
          </w:p>
        </w:tc>
      </w:tr>
      <w:tr>
        <w:tc>
          <w:tcPr>
            <w:tcW w:type="dxa" w:w="3000"/>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left"/>
            </w:pPr>
            <w:r>
              <w:rPr>
                <w:rFonts w:ascii="Times New Roman" w:cs="Times New Roman" w:eastAsia="Times New Roman" w:hAnsi="Times New Roman"/>
                <w:color w:val="000000"/>
                <w:sz w:val="18"/>
                <w:szCs w:val="18"/>
              </w:rPr>
              <w:t xml:space="preserve">Wages by occupation — BLS OEWS May 2025</w:t>
            </w:r>
          </w:p>
        </w:tc>
        <w:tc>
          <w:tcPr>
            <w:tcW w:type="dxa" w:w="3300"/>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left"/>
            </w:pPr>
            <w:r>
              <w:rPr>
                <w:rFonts w:ascii="Times New Roman" w:cs="Times New Roman" w:eastAsia="Times New Roman" w:hAnsi="Times New Roman"/>
                <w:color w:val="000000"/>
                <w:sz w:val="18"/>
                <w:szCs w:val="18"/>
              </w:rPr>
              <w:t xml:space="preserve">Chattanooga, TN-GA Metropolitan Statistical Area. Identifiers not recorded — re-run Auto-Fill for this section to record them</w:t>
            </w:r>
          </w:p>
        </w:tc>
        <w:tc>
          <w:tcPr>
            <w:tcW w:type="dxa" w:w="1700"/>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left"/>
            </w:pPr>
            <w:hyperlink w:history="1" r:id="rIdmzsfoqjh9s_p70_diiwpb">
              <w:r>
                <w:rPr>
                  <w:rFonts w:ascii="Times New Roman" w:cs="Times New Roman" w:eastAsia="Times New Roman" w:hAnsi="Times New Roman"/>
                  <w:color w:val="1155CC"/>
                  <w:sz w:val="18"/>
                  <w:szCs w:val="18"/>
                  <w:u w:val="single"/>
                </w:rPr>
                <w:t xml:space="preserve">BLS OEWS</w:t>
              </w:r>
            </w:hyperlink>
          </w:p>
        </w:tc>
        <w:tc>
          <w:tcPr>
            <w:tcW w:type="dxa" w:w="1300"/>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left"/>
            </w:pPr>
            <w:r>
              <w:rPr>
                <w:rFonts w:ascii="Times New Roman" w:cs="Times New Roman" w:eastAsia="Times New Roman" w:hAnsi="Times New Roman"/>
                <w:color w:val="000000"/>
                <w:sz w:val="18"/>
                <w:szCs w:val="18"/>
              </w:rPr>
              <w:t xml:space="preserve">October 3, 2026</w:t>
            </w:r>
          </w:p>
        </w:tc>
      </w:tr>
      <w:tr>
        <w:tc>
          <w:tcPr>
            <w:tcW w:type="dxa" w:w="3000"/>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left"/>
            </w:pPr>
            <w:r>
              <w:rPr>
                <w:rFonts w:ascii="Times New Roman" w:cs="Times New Roman" w:eastAsia="Times New Roman" w:hAnsi="Times New Roman"/>
                <w:color w:val="000000"/>
                <w:sz w:val="18"/>
                <w:szCs w:val="18"/>
              </w:rPr>
              <w:t xml:space="preserve">Building permits — U.S. Census Bureau Building Permits Survey, annual place files</w:t>
            </w:r>
          </w:p>
        </w:tc>
        <w:tc>
          <w:tcPr>
            <w:tcW w:type="dxa" w:w="3300"/>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left"/>
            </w:pPr>
            <w:r>
              <w:rPr>
                <w:rFonts w:ascii="Times New Roman" w:cs="Times New Roman" w:eastAsia="Times New Roman" w:hAnsi="Times New Roman"/>
                <w:color w:val="000000"/>
                <w:sz w:val="18"/>
                <w:szCs w:val="18"/>
              </w:rPr>
              <w:t xml:space="preserve">Place GEOID 4714000</w:t>
            </w:r>
          </w:p>
        </w:tc>
        <w:tc>
          <w:tcPr>
            <w:tcW w:type="dxa" w:w="1700"/>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left"/>
            </w:pPr>
            <w:hyperlink w:history="1" r:id="rIdszeegxzkcif6t2exdkcdv">
              <w:r>
                <w:rPr>
                  <w:rFonts w:ascii="Times New Roman" w:cs="Times New Roman" w:eastAsia="Times New Roman" w:hAnsi="Times New Roman"/>
                  <w:color w:val="1155CC"/>
                  <w:sz w:val="18"/>
                  <w:szCs w:val="18"/>
                  <w:u w:val="single"/>
                </w:rPr>
                <w:t xml:space="preserve">BPS place files directory</w:t>
              </w:r>
            </w:hyperlink>
          </w:p>
        </w:tc>
        <w:tc>
          <w:tcPr>
            <w:tcW w:type="dxa" w:w="1300"/>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left"/>
            </w:pPr>
            <w:r>
              <w:rPr>
                <w:rFonts w:ascii="Times New Roman" w:cs="Times New Roman" w:eastAsia="Times New Roman" w:hAnsi="Times New Roman"/>
                <w:color w:val="000000"/>
                <w:sz w:val="18"/>
                <w:szCs w:val="18"/>
              </w:rPr>
              <w:t xml:space="preserve">October 3, 2026</w:t>
            </w:r>
          </w:p>
        </w:tc>
      </w:tr>
    </w:tbl>
    <w:p>
      <w:r>
        <w:br w:type="page"/>
      </w:r>
    </w:p>
    <w:p>
      <w:pPr>
        <w:pStyle w:val="Heading1"/>
        <w:spacing w:after="0" w:before="0"/>
      </w:pPr>
      <w:r>
        <w:rPr>
          <w:rFonts w:ascii="Times New Roman" w:cs="Times New Roman" w:eastAsia="Times New Roman" w:hAnsi="Times New Roman"/>
          <w:b/>
          <w:bCs/>
          <w:i w:val="false"/>
          <w:iCs w:val="false"/>
          <w:color w:val="000000"/>
          <w:sz w:val="24"/>
          <w:szCs w:val="24"/>
        </w:rPr>
        <w:t xml:space="preserve">Submission Checklist — Tennessee Housing Development Agency</w:t>
      </w:r>
    </w:p>
    <w:p>
      <w:pPr>
        <w:spacing w:after="120"/>
        <w:jc w:val="both"/>
      </w:pPr>
      <w:r>
        <w:rPr>
          <w:rFonts w:ascii="Times New Roman" w:cs="Times New Roman" w:eastAsia="Times New Roman" w:hAnsi="Times New Roman"/>
          <w:color w:val="000000"/>
          <w:sz w:val="24"/>
          <w:szCs w:val="24"/>
        </w:rPr>
        <w:t xml:space="preserve">Items this agency's market-study guideline requires of the sections above, with whether each is present in this document. Source: THDA Market Study Guidance (Last Updated January 30, 2026): NCHMA Model Content Standards + THDA additions, organized in the NCHMA Market Study Index format (https://dogvxws799i6n.cloudfront.net/wp-content/uploads/MF_2026_-Market-Study-Guidance_ADA-1.29.2026.pdf). The checklist is for the analyst's review and is not a determination of compliance.</w:t>
      </w:r>
    </w:p>
    <w:p>
      <w:pPr>
        <w:spacing w:before="160"/>
      </w:pPr>
    </w:p>
    <w:tbl>
      <w:tblPr>
        <w:tblW w:type="dxa" w:w="9300"/>
        <w:jc w:val="center"/>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0"/>
        <w:gridCol w:w="2300"/>
        <w:gridCol w:w="1800"/>
      </w:tblGrid>
      <w:tr>
        <w:tc>
          <w:tcPr>
            <w:tcW w:type="dxa" w:w="9300"/>
            <w:gridSpan w:val="3"/>
            <w:tcBorders>
              <w:top w:val="single" w:color="1A305B" w:sz="1"/>
              <w:left w:val="single" w:color="1A305B" w:sz="1"/>
              <w:bottom w:val="single" w:color="1A305B" w:sz="1"/>
              <w:right w:val="single" w:color="1A305B" w:sz="1"/>
            </w:tcBorders>
            <w:shd w:fill="1A305B" w:color="auto" w:val="clear"/>
            <w:tcMar>
              <w:top w:type="dxa" w:w="61"/>
              <w:left w:type="dxa" w:w="100"/>
              <w:bottom w:type="dxa" w:w="61"/>
              <w:right w:type="dxa" w:w="100"/>
            </w:tcMar>
          </w:tcPr>
          <w:p>
            <w:pPr>
              <w:jc w:val="center"/>
            </w:pPr>
            <w:r>
              <w:rPr>
                <w:rFonts w:ascii="Times New Roman" w:cs="Times New Roman" w:eastAsia="Times New Roman" w:hAnsi="Times New Roman"/>
                <w:b/>
                <w:bCs/>
                <w:color w:val="FFFFFF"/>
                <w:sz w:val="20"/>
                <w:szCs w:val="20"/>
              </w:rPr>
              <w:t xml:space="preserve">Required items and status</w:t>
            </w:r>
          </w:p>
        </w:tc>
      </w:tr>
      <w:tr>
        <w:tc>
          <w:tcPr>
            <w:tcW w:type="dxa" w:w="5200"/>
            <w:tcBorders>
              <w:top w:val="single" w:color="1A305B" w:sz="1"/>
              <w:left w:val="single" w:color="1A305B" w:sz="1"/>
              <w:bottom w:val="single" w:color="1A305B" w:sz="1"/>
              <w:right w:val="single" w:color="1A305B" w:sz="1"/>
            </w:tcBorders>
            <w:shd w:fill="FFFFFF" w:color="auto" w:val="clear"/>
            <w:tcMar>
              <w:top w:type="dxa" w:w="61"/>
              <w:left w:type="dxa" w:w="100"/>
              <w:bottom w:type="dxa" w:w="61"/>
              <w:right w:type="dxa" w:w="100"/>
            </w:tcMar>
          </w:tcPr>
          <w:p>
            <w:pPr>
              <w:jc w:val="center"/>
            </w:pPr>
            <w:r>
              <w:rPr>
                <w:rFonts w:ascii="Times New Roman" w:cs="Times New Roman" w:eastAsia="Times New Roman" w:hAnsi="Times New Roman"/>
                <w:b/>
                <w:bCs/>
                <w:color w:val="000000"/>
                <w:sz w:val="20"/>
                <w:szCs w:val="20"/>
              </w:rPr>
              <w:t xml:space="preserve">Required item</w:t>
            </w:r>
          </w:p>
        </w:tc>
        <w:tc>
          <w:tcPr>
            <w:tcW w:type="dxa" w:w="2300"/>
            <w:tcBorders>
              <w:top w:val="single" w:color="1A305B" w:sz="1"/>
              <w:left w:val="single" w:color="1A305B" w:sz="1"/>
              <w:bottom w:val="single" w:color="1A305B" w:sz="1"/>
              <w:right w:val="single" w:color="1A305B" w:sz="1"/>
            </w:tcBorders>
            <w:shd w:fill="FFFFFF" w:color="auto" w:val="clear"/>
            <w:tcMar>
              <w:top w:type="dxa" w:w="61"/>
              <w:left w:type="dxa" w:w="100"/>
              <w:bottom w:type="dxa" w:w="61"/>
              <w:right w:type="dxa" w:w="100"/>
            </w:tcMar>
          </w:tcPr>
          <w:p>
            <w:pPr>
              <w:jc w:val="center"/>
            </w:pPr>
            <w:r>
              <w:rPr>
                <w:rFonts w:ascii="Times New Roman" w:cs="Times New Roman" w:eastAsia="Times New Roman" w:hAnsi="Times New Roman"/>
                <w:b/>
                <w:bCs/>
                <w:color w:val="000000"/>
                <w:sz w:val="20"/>
                <w:szCs w:val="20"/>
              </w:rPr>
              <w:t xml:space="preserve">Where required</w:t>
            </w:r>
          </w:p>
        </w:tc>
        <w:tc>
          <w:tcPr>
            <w:tcW w:type="dxa" w:w="1800"/>
            <w:tcBorders>
              <w:top w:val="single" w:color="1A305B" w:sz="1"/>
              <w:left w:val="single" w:color="1A305B" w:sz="1"/>
              <w:bottom w:val="single" w:color="1A305B" w:sz="1"/>
              <w:right w:val="single" w:color="1A305B" w:sz="1"/>
            </w:tcBorders>
            <w:shd w:fill="FFFFFF" w:color="auto" w:val="clear"/>
            <w:tcMar>
              <w:top w:type="dxa" w:w="61"/>
              <w:left w:type="dxa" w:w="100"/>
              <w:bottom w:type="dxa" w:w="61"/>
              <w:right w:type="dxa" w:w="100"/>
            </w:tcMar>
          </w:tcPr>
          <w:p>
            <w:pPr>
              <w:jc w:val="center"/>
            </w:pPr>
            <w:r>
              <w:rPr>
                <w:rFonts w:ascii="Times New Roman" w:cs="Times New Roman" w:eastAsia="Times New Roman" w:hAnsi="Times New Roman"/>
                <w:b/>
                <w:bCs/>
                <w:color w:val="000000"/>
                <w:sz w:val="20"/>
                <w:szCs w:val="20"/>
              </w:rPr>
              <w:t xml:space="preserve">In this document</w:t>
            </w:r>
          </w:p>
        </w:tc>
      </w:tr>
      <w:tr>
        <w:tc>
          <w:tcPr>
            <w:tcW w:type="dxa" w:w="5200"/>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color w:val="000000"/>
                <w:sz w:val="20"/>
                <w:szCs w:val="20"/>
              </w:rPr>
              <w:t xml:space="preserve">Development Location Point in decimal-degree latitude/longitude</w:t>
            </w:r>
          </w:p>
        </w:tc>
        <w:tc>
          <w:tcPr>
            <w:tcW w:type="dxa" w:w="2300"/>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color w:val="000000"/>
                <w:sz w:val="20"/>
                <w:szCs w:val="20"/>
              </w:rPr>
              <w:t xml:space="preserve">THDA Guidance — Scope</w:t>
            </w:r>
          </w:p>
        </w:tc>
        <w:tc>
          <w:tcPr>
            <w:tcW w:type="dxa" w:w="1800"/>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color w:val="000000"/>
                <w:sz w:val="20"/>
                <w:szCs w:val="20"/>
              </w:rPr>
              <w:t xml:space="preserve">Yes</w:t>
            </w:r>
          </w:p>
        </w:tc>
      </w:tr>
      <w:tr>
        <w:tc>
          <w:tcPr>
            <w:tcW w:type="dxa" w:w="5200"/>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color w:val="000000"/>
                <w:sz w:val="20"/>
                <w:szCs w:val="20"/>
              </w:rPr>
              <w:t xml:space="preserve">PMA census tracts listed by FIPS (report + CSV) and shapefiles</w:t>
            </w:r>
          </w:p>
        </w:tc>
        <w:tc>
          <w:tcPr>
            <w:tcW w:type="dxa" w:w="2300"/>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color w:val="000000"/>
                <w:sz w:val="20"/>
                <w:szCs w:val="20"/>
              </w:rPr>
              <w:t xml:space="preserve">THDA Guidance — PMA</w:t>
            </w:r>
          </w:p>
        </w:tc>
        <w:tc>
          <w:tcPr>
            <w:tcW w:type="dxa" w:w="1800"/>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color w:val="000000"/>
                <w:sz w:val="20"/>
                <w:szCs w:val="20"/>
              </w:rPr>
              <w:t xml:space="preserve">No — add before submission</w:t>
            </w:r>
          </w:p>
        </w:tc>
      </w:tr>
      <w:tr>
        <w:tc>
          <w:tcPr>
            <w:tcW w:type="dxa" w:w="5200"/>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color w:val="000000"/>
                <w:sz w:val="20"/>
                <w:szCs w:val="20"/>
              </w:rPr>
              <w:t xml:space="preserve">Nearest grocery, convenience store, pharmacy, hospital or walk-in clinic, bank, retail shopping</w:t>
            </w:r>
          </w:p>
        </w:tc>
        <w:tc>
          <w:tcPr>
            <w:tcW w:type="dxa" w:w="2300"/>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color w:val="000000"/>
                <w:sz w:val="20"/>
                <w:szCs w:val="20"/>
              </w:rPr>
              <w:t xml:space="preserve">THDA — Area Services</w:t>
            </w:r>
          </w:p>
        </w:tc>
        <w:tc>
          <w:tcPr>
            <w:tcW w:type="dxa" w:w="1800"/>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color w:val="000000"/>
                <w:sz w:val="20"/>
                <w:szCs w:val="20"/>
              </w:rPr>
              <w:t xml:space="preserve">Yes</w:t>
            </w:r>
          </w:p>
        </w:tc>
      </w:tr>
      <w:tr>
        <w:tc>
          <w:tcPr>
            <w:tcW w:type="dxa" w:w="5200"/>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color w:val="000000"/>
                <w:sz w:val="20"/>
                <w:szCs w:val="20"/>
              </w:rPr>
              <w:t xml:space="preserve">Transit system, nearest stop, distance and routes</w:t>
            </w:r>
          </w:p>
        </w:tc>
        <w:tc>
          <w:tcPr>
            <w:tcW w:type="dxa" w:w="2300"/>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color w:val="000000"/>
                <w:sz w:val="20"/>
                <w:szCs w:val="20"/>
              </w:rPr>
              <w:t xml:space="preserve">THDA — Area Services (Transportation)</w:t>
            </w:r>
          </w:p>
        </w:tc>
        <w:tc>
          <w:tcPr>
            <w:tcW w:type="dxa" w:w="1800"/>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color w:val="000000"/>
                <w:sz w:val="20"/>
                <w:szCs w:val="20"/>
              </w:rPr>
              <w:t xml:space="preserve">Yes</w:t>
            </w:r>
          </w:p>
        </w:tc>
      </w:tr>
      <w:tr>
        <w:tc>
          <w:tcPr>
            <w:tcW w:type="dxa" w:w="5200"/>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color w:val="000000"/>
                <w:sz w:val="20"/>
                <w:szCs w:val="20"/>
              </w:rPr>
              <w:t xml:space="preserve">Public K-12 schools: name, location, grades, district, distance (non-senior)</w:t>
            </w:r>
          </w:p>
        </w:tc>
        <w:tc>
          <w:tcPr>
            <w:tcW w:type="dxa" w:w="2300"/>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color w:val="000000"/>
                <w:sz w:val="20"/>
                <w:szCs w:val="20"/>
              </w:rPr>
              <w:t xml:space="preserve">THDA — Area Services</w:t>
            </w:r>
          </w:p>
        </w:tc>
        <w:tc>
          <w:tcPr>
            <w:tcW w:type="dxa" w:w="1800"/>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color w:val="000000"/>
                <w:sz w:val="20"/>
                <w:szCs w:val="20"/>
              </w:rPr>
              <w:t xml:space="preserve">Yes</w:t>
            </w:r>
          </w:p>
        </w:tc>
      </w:tr>
      <w:tr>
        <w:tc>
          <w:tcPr>
            <w:tcW w:type="dxa" w:w="5200"/>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color w:val="000000"/>
                <w:sz w:val="20"/>
                <w:szCs w:val="20"/>
              </w:rPr>
              <w:t xml:space="preserve">Study less than six months old at submission</w:t>
            </w:r>
          </w:p>
        </w:tc>
        <w:tc>
          <w:tcPr>
            <w:tcW w:type="dxa" w:w="2300"/>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color w:val="000000"/>
                <w:sz w:val="20"/>
                <w:szCs w:val="20"/>
              </w:rPr>
              <w:t xml:space="preserve">THDA Guidance; QAP §3.B.1</w:t>
            </w:r>
          </w:p>
        </w:tc>
        <w:tc>
          <w:tcPr>
            <w:tcW w:type="dxa" w:w="1800"/>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color w:val="000000"/>
                <w:sz w:val="20"/>
                <w:szCs w:val="20"/>
              </w:rPr>
              <w:t xml:space="preserve">Yes</w:t>
            </w:r>
          </w:p>
        </w:tc>
      </w:tr>
      <w:tr>
        <w:tc>
          <w:tcPr>
            <w:tcW w:type="dxa" w:w="5200"/>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color w:val="000000"/>
                <w:sz w:val="20"/>
                <w:szCs w:val="20"/>
              </w:rPr>
              <w:t xml:space="preserve">Employment &amp; economy per NCHMA §F (at-place, sectors, unemployment, employers, wages, commuting)</w:t>
            </w:r>
          </w:p>
        </w:tc>
        <w:tc>
          <w:tcPr>
            <w:tcW w:type="dxa" w:w="2300"/>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color w:val="000000"/>
                <w:sz w:val="20"/>
                <w:szCs w:val="20"/>
              </w:rPr>
              <w:t xml:space="preserve">THDA adopts NCHMA</w:t>
            </w:r>
          </w:p>
        </w:tc>
        <w:tc>
          <w:tcPr>
            <w:tcW w:type="dxa" w:w="1800"/>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color w:val="000000"/>
                <w:sz w:val="20"/>
                <w:szCs w:val="20"/>
              </w:rPr>
              <w:t xml:space="preserve">Yes</w:t>
            </w:r>
          </w:p>
        </w:tc>
      </w:tr>
      <w:tr>
        <w:tc>
          <w:tcPr>
            <w:tcW w:type="dxa" w:w="5200"/>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color w:val="000000"/>
                <w:sz w:val="20"/>
                <w:szCs w:val="20"/>
              </w:rPr>
              <w:t xml:space="preserve">Building permits by housing type</w:t>
            </w:r>
          </w:p>
        </w:tc>
        <w:tc>
          <w:tcPr>
            <w:tcW w:type="dxa" w:w="2300"/>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color w:val="000000"/>
                <w:sz w:val="20"/>
                <w:szCs w:val="20"/>
              </w:rPr>
              <w:t xml:space="preserve">NCHMA §G.5</w:t>
            </w:r>
          </w:p>
        </w:tc>
        <w:tc>
          <w:tcPr>
            <w:tcW w:type="dxa" w:w="1800"/>
            <w:tcBorders>
              <w:top w:val="single" w:color="1A305B" w:sz="1"/>
              <w:left w:val="single" w:color="1A305B" w:sz="1"/>
              <w:bottom w:val="single" w:color="1A305B" w:sz="1"/>
              <w:right w:val="single" w:color="1A305B" w:sz="1"/>
            </w:tcBorders>
            <w:tcMar>
              <w:top w:type="dxa" w:w="61"/>
              <w:left w:type="dxa" w:w="100"/>
              <w:bottom w:type="dxa" w:w="61"/>
              <w:right w:type="dxa" w:w="100"/>
            </w:tcMar>
          </w:tcPr>
          <w:p>
            <w:pPr>
              <w:jc w:val="center"/>
            </w:pPr>
            <w:r>
              <w:rPr>
                <w:rFonts w:ascii="Times New Roman" w:cs="Times New Roman" w:eastAsia="Times New Roman" w:hAnsi="Times New Roman"/>
                <w:color w:val="000000"/>
                <w:sz w:val="20"/>
                <w:szCs w:val="20"/>
              </w:rPr>
              <w:t xml:space="preserve">Yes</w:t>
            </w:r>
          </w:p>
        </w:tc>
      </w:tr>
    </w:tbl>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i/>
        <w:iCs/>
        <w:color w:val="9CA3AF"/>
        <w:sz w:val="14"/>
        <w:szCs w:val="14"/>
      </w:rPr>
      <w:t xml:space="preserve">Generated by StudyScribe · studyscribe.ai</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b w:val="false"/>
        <w:bCs w:val="false"/>
        <w:i w:val="false"/>
        <w:iCs w:val="false"/>
        <w:caps w:val="false"/>
        <w:color w:val="000000"/>
        <w:sz w:val="20"/>
        <w:szCs w:val="20"/>
      </w:rPr>
    </w:rPrDefault>
    <w:pPrDefault>
      <w:pPr>
        <w:jc w:val="both"/>
      </w:pPr>
    </w:pPrDefault>
  </w:docDefaults>
  <w:style w:type="paragraph" w:styleId="Title">
    <w:name w:val="Title"/>
    <w:basedOn w:val="Normal"/>
    <w:next w:val="Normal"/>
    <w:qFormat/>
    <w:rPr>
      <w:sz w:val="56"/>
      <w:szCs w:val="56"/>
    </w:rPr>
  </w:style>
  <w:style w:type="paragraph" w:styleId="Heading1">
    <w:name w:val="Heading 1"/>
    <w:basedOn w:val="Normal"/>
    <w:next w:val="Normal"/>
    <w:qFormat/>
    <w:pPr>
      <w:keepNext/>
      <w:keepLines/>
    </w:pPr>
    <w:rPr>
      <w:rFonts w:ascii="Times New Roman" w:cs="Times New Roman" w:eastAsia="Times New Roman" w:hAnsi="Times New Roman"/>
      <w:b/>
      <w:bCs/>
      <w:i w:val="false"/>
      <w:iCs w:val="false"/>
      <w:color w:val="000000"/>
      <w:sz w:val="24"/>
      <w:szCs w:val="24"/>
    </w:rPr>
  </w:style>
  <w:style w:type="paragraph" w:styleId="Heading2">
    <w:name w:val="Heading 2"/>
    <w:basedOn w:val="Normal"/>
    <w:next w:val="Normal"/>
    <w:qFormat/>
    <w:pPr>
      <w:keepNext/>
      <w:keepLines/>
    </w:pPr>
    <w:rPr>
      <w:rFonts w:ascii="Times New Roman" w:cs="Times New Roman" w:eastAsia="Times New Roman" w:hAnsi="Times New Roman"/>
      <w:b/>
      <w:bCs/>
      <w:i w:val="false"/>
      <w:iCs w:val="false"/>
      <w:color w:val="000000"/>
      <w:sz w:val="24"/>
      <w:szCs w:val="24"/>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ableNormal">
    <w:name w:val="Table Normal"/>
    <w:basedOn w:val="Normal"/>
    <w:next w:val="Normal"/>
    <w:pPr>
      <w:jc w:val="left"/>
    </w:pPr>
    <w:rPr>
      <w:rFonts w:ascii="Times New Roman" w:cs="Times New Roman" w:eastAsia="Times New Roman" w:hAnsi="Times New Roman"/>
      <w:b w:val="false"/>
      <w:bCs w:val="false"/>
      <w:i w:val="false"/>
      <w:iCs w:val="false"/>
      <w:color w:val="000000"/>
      <w:sz w:val="20"/>
      <w:szCs w:val="20"/>
    </w:rPr>
  </w:style>
  <w:style w:type="paragraph" w:styleId="ListParagraph">
    <w:name w:val="List Paragraph"/>
    <w:basedOn w:val="Normal"/>
    <w:next w:val="Normal"/>
    <w:pPr>
      <w:jc w:val="both"/>
    </w:pPr>
  </w:style>
  <w:style w:type="character" w:styleId="DefaultParagraphFont">
    <w:name w:val="Default Paragraph Font"/>
    <w:uiPriority w:val="99"/>
    <w:unhideWhenUsed/>
    <w:rPr>
      <w:rFonts w:ascii="Times New Roman" w:cs="Times New Roman" w:eastAsia="Times New Roman" w:hAnsi="Times New Roman"/>
      <w:b w:val="false"/>
      <w:bCs w:val="false"/>
      <w:i w:val="false"/>
      <w:iCs w:val="false"/>
      <w:color w:val="000000"/>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53vturihwezf_mgmn7mpg" Type="http://schemas.openxmlformats.org/officeDocument/2006/relationships/hyperlink" Target="https://www.hamiltontn.gov/PDF/CAFR/2025/FY%202025%20ACFR.pdf" TargetMode="External"/><Relationship Id="rIdm3asxwjyqyadyer2wvyz-" Type="http://schemas.openxmlformats.org/officeDocument/2006/relationships/hyperlink" Target="https://hazards.fema.gov/arcgis/rest/services/public/NFHL/MapServer/28/query?geometry=-85.309328620675%2C35.04477962167&amp;geometryType=esriGeometryPoint&amp;inSR=4326&amp;spatialRel=esriSpatialRelIntersects&amp;outFields=FLD_ZONE%2CSFHA_TF%2CZONE_SUBTY&amp;returnGeometry=false&amp;f=json" TargetMode="External"/><Relationship Id="rIdtfpzd1opgb5ctifxa_n1h" Type="http://schemas.openxmlformats.org/officeDocument/2006/relationships/hyperlink" Target="https://nces.ed.gov/ccd/schoolsearch/school_detail.asp?ID=470159001791" TargetMode="External"/><Relationship Id="rId3ta8retiq7sljvr7accmm" Type="http://schemas.openxmlformats.org/officeDocument/2006/relationships/hyperlink" Target="https://api.usa.gov/crime/fbi/cde/summarized/agency/TN0330100/V?from=01-2025&amp;to=12-2025&amp;API_KEY=YOUR_API_KEY" TargetMode="External"/><Relationship Id="rIdd0qzue7dnczq_1tmokdxz" Type="http://schemas.openxmlformats.org/officeDocument/2006/relationships/hyperlink" Target="https://data.bls.gov/cew/data/api/2025/a/area/47065.csv" TargetMode="External"/><Relationship Id="rIdmxyc52r1trfemfip2prht" Type="http://schemas.openxmlformats.org/officeDocument/2006/relationships/hyperlink" Target="https://public.projectionscentral.org/Projections/LongTermRestJson/47?items_per_page=1000" TargetMode="External"/><Relationship Id="rIdxvrszrjtwoub13lq9nl90" Type="http://schemas.openxmlformats.org/officeDocument/2006/relationships/hyperlink" Target="https://data.bls.gov/cew/data/api/2025/a/area/47065.csv" TargetMode="External"/><Relationship Id="rIdorqrttn1oey4hltk-rogi" Type="http://schemas.openxmlformats.org/officeDocument/2006/relationships/hyperlink" Target="https://api.census.gov/data/2024/acs/acs5?get=B08007_001E,B08007_003E,B08007_004E,B08007_005E,B08301_001E,B08301_003E,B08301_004E,B08301_010E,B08301_016E,B08301_017E,B08301_018E,B08301_019E,B08301_020E,B08301_021E,B08303_001E,B08303_002E,B08303_003E,B08303_004E,B08303_005E,B08303_006E,B08303_007E,B08303_008E,B08303_009E,B08303_010E,B08303_011E,B08303_012E,B08303_013E,B08013_001E&amp;for=county:065&amp;in=state:47" TargetMode="External"/><Relationship Id="rId5s3ylg4rkav6azkbpyiox" Type="http://schemas.openxmlformats.org/officeDocument/2006/relationships/hyperlink" Target="https://www.bls.gov/oes/" TargetMode="External"/><Relationship Id="rIdxa5ochympf04ccalrmxwf" Type="http://schemas.openxmlformats.org/officeDocument/2006/relationships/hyperlink" Target="https://www2.census.gov/econ/bps/Place/" TargetMode="External"/><Relationship Id="rIdw98m3tqgra8bwpug-5r-l" Type="http://schemas.openxmlformats.org/officeDocument/2006/relationships/hyperlink" Target="https://hazards.fema.gov/arcgis/rest/services/public/NFHL/MapServer/28/query?geometry=-85.309328620675%2C35.04477962167&amp;geometryType=esriGeometryPoint&amp;inSR=4326&amp;spatialRel=esriSpatialRelIntersects&amp;outFields=FLD_ZONE%2CSFHA_TF%2CZONE_SUBTY&amp;returnGeometry=false&amp;f=json" TargetMode="External"/><Relationship Id="rIdc4yjoa5tpcsyyuvxhojh1" Type="http://schemas.openxmlformats.org/officeDocument/2006/relationships/hyperlink" Target="https://nces.ed.gov/ccd/schoolsearch/school_detail.asp?ID=470159001791" TargetMode="External"/><Relationship Id="rIdsy7gebzoyf1_y3ylh2v6c" Type="http://schemas.openxmlformats.org/officeDocument/2006/relationships/hyperlink" Target="https://api.usa.gov/crime/fbi/cde/summarized/agency/TN0330100/V?from=01-2025&amp;to=12-2025&amp;API_KEY=YOUR_API_KEY" TargetMode="External"/><Relationship Id="rIdxcbfw2lt-wgfg1xigi-47" Type="http://schemas.openxmlformats.org/officeDocument/2006/relationships/hyperlink" Target="https://data.bls.gov/cew/data/api/2025/a/area/47065.csv" TargetMode="External"/><Relationship Id="rIdoahaaief85xlluqcbaw_1" Type="http://schemas.openxmlformats.org/officeDocument/2006/relationships/hyperlink" Target="https://data.bls.gov/timeseries/ENU4706510010" TargetMode="External"/><Relationship Id="rIdddtvxcwzkfc5tc-qr1ixm" Type="http://schemas.openxmlformats.org/officeDocument/2006/relationships/hyperlink" Target="https://public.projectionscentral.org/Projections/LongTermRestJson/47?items_per_page=1000" TargetMode="External"/><Relationship Id="rId0wgmd2vd2jllhcu55tf9u" Type="http://schemas.openxmlformats.org/officeDocument/2006/relationships/hyperlink" Target="https://www.hamiltontn.gov/PDF/CAFR/2025/FY%202025%20ACFR.pdf" TargetMode="External"/><Relationship Id="rIdvjpy8qdxh1xaydd7hkqeh" Type="http://schemas.openxmlformats.org/officeDocument/2006/relationships/hyperlink" Target="https://www.tn.gov/workforce/general-resources/major-publications0/major-publications-redirect/reports.html" TargetMode="External"/><Relationship Id="rIdgmnncvgx7-kdrtx7hicce" Type="http://schemas.openxmlformats.org/officeDocument/2006/relationships/hyperlink" Target="https://data.bls.gov/timeseries/LAUCT471400000000006" TargetMode="External"/><Relationship Id="rIdjk2eh8brnppxunvrmdvqw" Type="http://schemas.openxmlformats.org/officeDocument/2006/relationships/hyperlink" Target="https://data.bls.gov/timeseries/LAUCT471400000000003" TargetMode="External"/><Relationship Id="rIdnjrrfd-6p3nviywjzq4h9" Type="http://schemas.openxmlformats.org/officeDocument/2006/relationships/hyperlink" Target="https://api.census.gov/data/2024/acs/acs5?get=B08007_001E,B08007_003E,B08007_004E,B08007_005E,B08301_001E,B08301_003E,B08301_004E,B08301_010E,B08301_016E,B08301_017E,B08301_018E,B08301_019E,B08301_020E,B08301_021E,B08303_001E,B08303_002E,B08303_003E,B08303_004E,B08303_005E,B08303_006E,B08303_007E,B08303_008E,B08303_009E,B08303_010E,B08303_011E,B08303_012E,B08303_013E,B08013_001E&amp;for=county:065&amp;in=state:47" TargetMode="External"/><Relationship Id="rIdmzsfoqjh9s_p70_diiwpb" Type="http://schemas.openxmlformats.org/officeDocument/2006/relationships/hyperlink" Target="https://www.bls.gov/oes/" TargetMode="External"/><Relationship Id="rIdszeegxzkcif6t2exdkcdv" Type="http://schemas.openxmlformats.org/officeDocument/2006/relationships/hyperlink" Target="https://www2.census.gov/econ/bps/Place/" TargetMode="External"/><Relationship Id="rId8" Type="http://schemas.openxmlformats.org/officeDocument/2006/relationships/image" Target="media/6d02652f6a4f59c534c66b78271c5d4e802114b3.png"/><Relationship Id="rId9" Type="http://schemas.openxmlformats.org/officeDocument/2006/relationships/image" Target="media/cbfaa1191dc7a558a0e5b4b6853acf8a3ff06d32.png"/><Relationship Id="rId10" Type="http://schemas.openxmlformats.org/officeDocument/2006/relationships/image" Target="media/1c60c36b13198778897ff9e5b0fb15cf10096632.png"/><Relationship Id="rId3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2026-10-03T18:34:50.329Z</dcterms:created>
  <dcterms:modified xsi:type="dcterms:W3CDTF">2026-10-03T18:34:50.329Z</dcterms:modified>
</cp:coreProperties>
</file>

<file path=docProps/custom.xml><?xml version="1.0" encoding="utf-8"?>
<Properties xmlns="http://schemas.openxmlformats.org/officeDocument/2006/custom-properties" xmlns:vt="http://schemas.openxmlformats.org/officeDocument/2006/docPropsVTypes"/>
</file>